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3FA0B148" w:rsidR="006D12A8" w:rsidRDefault="00CD4BCE" w:rsidP="006D12A8">
      <w:pPr>
        <w:tabs>
          <w:tab w:val="right" w:pos="9026"/>
        </w:tabs>
        <w:spacing w:after="160"/>
        <w:rPr>
          <w:rFonts w:ascii="Arial" w:eastAsia="SimSun" w:hAnsi="Arial" w:cs="Arial"/>
          <w:sz w:val="28"/>
          <w:szCs w:val="28"/>
          <w:lang w:eastAsia="zh-CN"/>
        </w:rPr>
      </w:pPr>
      <w:r w:rsidRPr="00CD4BCE">
        <w:rPr>
          <w:rFonts w:ascii="Arial" w:eastAsia="SimSun" w:hAnsi="Arial" w:cs="Arial"/>
          <w:sz w:val="28"/>
          <w:szCs w:val="28"/>
          <w:lang w:eastAsia="zh-CN"/>
        </w:rPr>
        <w:t xml:space="preserve">Balancing </w:t>
      </w:r>
      <w:r>
        <w:rPr>
          <w:rFonts w:ascii="Arial" w:eastAsia="SimSun" w:hAnsi="Arial" w:cs="Arial"/>
          <w:sz w:val="28"/>
          <w:szCs w:val="28"/>
          <w:lang w:eastAsia="zh-CN"/>
        </w:rPr>
        <w:t>f</w:t>
      </w:r>
      <w:r w:rsidRPr="00CD4BCE">
        <w:rPr>
          <w:rFonts w:ascii="Arial" w:eastAsia="SimSun" w:hAnsi="Arial" w:cs="Arial"/>
          <w:sz w:val="28"/>
          <w:szCs w:val="28"/>
          <w:lang w:eastAsia="zh-CN"/>
        </w:rPr>
        <w:t xml:space="preserve">ire </w:t>
      </w:r>
      <w:r>
        <w:rPr>
          <w:rFonts w:ascii="Arial" w:eastAsia="SimSun" w:hAnsi="Arial" w:cs="Arial"/>
          <w:sz w:val="28"/>
          <w:szCs w:val="28"/>
          <w:lang w:eastAsia="zh-CN"/>
        </w:rPr>
        <w:t>s</w:t>
      </w:r>
      <w:r w:rsidRPr="00CD4BCE">
        <w:rPr>
          <w:rFonts w:ascii="Arial" w:eastAsia="SimSun" w:hAnsi="Arial" w:cs="Arial"/>
          <w:sz w:val="28"/>
          <w:szCs w:val="28"/>
          <w:lang w:eastAsia="zh-CN"/>
        </w:rPr>
        <w:t xml:space="preserve">afety and </w:t>
      </w:r>
      <w:r>
        <w:rPr>
          <w:rFonts w:ascii="Arial" w:eastAsia="SimSun" w:hAnsi="Arial" w:cs="Arial"/>
          <w:sz w:val="28"/>
          <w:szCs w:val="28"/>
          <w:lang w:eastAsia="zh-CN"/>
        </w:rPr>
        <w:t>c</w:t>
      </w:r>
      <w:r w:rsidRPr="00CD4BCE">
        <w:rPr>
          <w:rFonts w:ascii="Arial" w:eastAsia="SimSun" w:hAnsi="Arial" w:cs="Arial"/>
          <w:sz w:val="28"/>
          <w:szCs w:val="28"/>
          <w:lang w:eastAsia="zh-CN"/>
        </w:rPr>
        <w:t xml:space="preserve">ommercial </w:t>
      </w:r>
      <w:r>
        <w:rPr>
          <w:rFonts w:ascii="Arial" w:eastAsia="SimSun" w:hAnsi="Arial" w:cs="Arial"/>
          <w:sz w:val="28"/>
          <w:szCs w:val="28"/>
          <w:lang w:eastAsia="zh-CN"/>
        </w:rPr>
        <w:t>r</w:t>
      </w:r>
      <w:r w:rsidRPr="00CD4BCE">
        <w:rPr>
          <w:rFonts w:ascii="Arial" w:eastAsia="SimSun" w:hAnsi="Arial" w:cs="Arial"/>
          <w:sz w:val="28"/>
          <w:szCs w:val="28"/>
          <w:lang w:eastAsia="zh-CN"/>
        </w:rPr>
        <w:t xml:space="preserve">eality in </w:t>
      </w:r>
      <w:r w:rsidR="002E6FA2" w:rsidRPr="002E6FA2">
        <w:rPr>
          <w:rFonts w:ascii="Arial" w:eastAsia="SimSun" w:hAnsi="Arial" w:cs="Arial"/>
          <w:sz w:val="28"/>
          <w:szCs w:val="28"/>
          <w:lang w:eastAsia="zh-CN"/>
        </w:rPr>
        <w:t>combustible-core sandwich panels</w:t>
      </w:r>
    </w:p>
    <w:p w14:paraId="5EA2D1C0" w14:textId="1A6EC859" w:rsidR="00CD4BCE" w:rsidRDefault="002E6FA2" w:rsidP="00CD4BCE">
      <w:pPr>
        <w:tabs>
          <w:tab w:val="right" w:pos="9026"/>
        </w:tabs>
        <w:spacing w:after="160"/>
        <w:rPr>
          <w:rFonts w:asciiTheme="minorHAnsi" w:hAnsiTheme="minorHAnsi" w:cstheme="minorHAnsi"/>
          <w:b/>
        </w:rPr>
      </w:pPr>
      <w:r w:rsidRPr="002E6FA2">
        <w:rPr>
          <w:rFonts w:asciiTheme="minorHAnsi" w:hAnsiTheme="minorHAnsi" w:cstheme="minorHAnsi"/>
          <w:b/>
        </w:rPr>
        <w:t>New technical report advocates a risk-based approach to fire safety in industrial and agricultural buildings</w:t>
      </w:r>
      <w:r w:rsidRPr="002E6FA2" w:rsidDel="002E6FA2">
        <w:rPr>
          <w:rFonts w:asciiTheme="minorHAnsi" w:hAnsiTheme="minorHAnsi" w:cstheme="minorHAnsi"/>
          <w:b/>
        </w:rPr>
        <w:t xml:space="preserve"> </w:t>
      </w:r>
      <w:r w:rsidR="00CD4BCE" w:rsidRPr="00CD4BCE">
        <w:rPr>
          <w:rFonts w:asciiTheme="minorHAnsi" w:hAnsiTheme="minorHAnsi" w:cstheme="minorHAnsi"/>
          <w:b/>
        </w:rPr>
        <w:t>panels</w:t>
      </w:r>
    </w:p>
    <w:p w14:paraId="3248EAB5" w14:textId="469FE45F" w:rsidR="00CD4BCE" w:rsidRPr="00CD4BCE" w:rsidRDefault="0079610F" w:rsidP="00CD4BCE">
      <w:pPr>
        <w:tabs>
          <w:tab w:val="right" w:pos="9026"/>
        </w:tabs>
        <w:spacing w:after="160"/>
        <w:rPr>
          <w:rFonts w:asciiTheme="minorHAnsi" w:hAnsiTheme="minorHAnsi" w:cstheme="minorHAnsi"/>
        </w:rPr>
      </w:pPr>
      <w:r>
        <w:rPr>
          <w:rFonts w:asciiTheme="minorHAnsi" w:hAnsiTheme="minorHAnsi" w:cstheme="minorHAnsi"/>
          <w:b/>
        </w:rPr>
        <w:t>11 June</w:t>
      </w:r>
      <w:r w:rsidR="00925E3C">
        <w:rPr>
          <w:rFonts w:asciiTheme="minorHAnsi" w:hAnsiTheme="minorHAnsi" w:cstheme="minorHAnsi"/>
          <w:b/>
        </w:rPr>
        <w:t xml:space="preserve"> </w:t>
      </w:r>
      <w:r w:rsidR="00C05B3C" w:rsidRPr="00A146F7">
        <w:rPr>
          <w:rFonts w:asciiTheme="minorHAnsi" w:hAnsiTheme="minorHAnsi" w:cstheme="minorHAnsi"/>
          <w:b/>
        </w:rPr>
        <w:t>202</w:t>
      </w:r>
      <w:r w:rsidR="00CF0A57">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CD4BCE" w:rsidRPr="00CD4BCE">
        <w:rPr>
          <w:rFonts w:asciiTheme="minorHAnsi" w:hAnsiTheme="minorHAnsi" w:cstheme="minorHAnsi"/>
        </w:rPr>
        <w:t xml:space="preserve">A new technical report by fire engineering consultancy </w:t>
      </w:r>
      <w:hyperlink r:id="rId6" w:history="1">
        <w:r w:rsidR="00CD4BCE" w:rsidRPr="00CD4BCE">
          <w:rPr>
            <w:rStyle w:val="Hyperlink"/>
            <w:rFonts w:asciiTheme="minorHAnsi" w:hAnsiTheme="minorHAnsi" w:cstheme="minorHAnsi"/>
          </w:rPr>
          <w:t>ASP Fire</w:t>
        </w:r>
      </w:hyperlink>
      <w:r w:rsidR="00CD4BCE">
        <w:rPr>
          <w:rFonts w:asciiTheme="minorHAnsi" w:hAnsiTheme="minorHAnsi" w:cstheme="minorHAnsi"/>
        </w:rPr>
        <w:t xml:space="preserve"> </w:t>
      </w:r>
      <w:r w:rsidR="00CD4BCE" w:rsidRPr="00CD4BCE">
        <w:rPr>
          <w:rFonts w:asciiTheme="minorHAnsi" w:hAnsiTheme="minorHAnsi" w:cstheme="minorHAnsi"/>
        </w:rPr>
        <w:t>is challenging blanket assumptions around combustible-core sandwich panels, arguing instead for a rational, risk-based approach that balances fire safety requirements with commercial realities in sectors such as agriculture, manufacturing and industrial processing.</w:t>
      </w:r>
    </w:p>
    <w:p w14:paraId="4CB5127F" w14:textId="577E2DDD"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Authored by </w:t>
      </w:r>
      <w:r>
        <w:rPr>
          <w:rFonts w:asciiTheme="minorHAnsi" w:hAnsiTheme="minorHAnsi" w:cstheme="minorHAnsi"/>
        </w:rPr>
        <w:t xml:space="preserve">ASP Fire CEO </w:t>
      </w:r>
      <w:r w:rsidRPr="00CD4BCE">
        <w:rPr>
          <w:rFonts w:asciiTheme="minorHAnsi" w:hAnsiTheme="minorHAnsi" w:cstheme="minorHAnsi"/>
          <w:b/>
          <w:bCs/>
        </w:rPr>
        <w:t>Michael van Niekerk</w:t>
      </w:r>
      <w:r w:rsidRPr="00CD4BCE">
        <w:rPr>
          <w:rFonts w:asciiTheme="minorHAnsi" w:hAnsiTheme="minorHAnsi" w:cstheme="minorHAnsi"/>
        </w:rPr>
        <w:t xml:space="preserve">, the report assesses the relative risks associated with various </w:t>
      </w:r>
      <w:r w:rsidR="002E6FA2" w:rsidRPr="002E6FA2">
        <w:rPr>
          <w:rFonts w:asciiTheme="minorHAnsi" w:hAnsiTheme="minorHAnsi" w:cstheme="minorHAnsi"/>
        </w:rPr>
        <w:t>combustible-core sandwich panels</w:t>
      </w:r>
      <w:r w:rsidR="002E6FA2" w:rsidRPr="002E6FA2" w:rsidDel="002E6FA2">
        <w:rPr>
          <w:rFonts w:asciiTheme="minorHAnsi" w:hAnsiTheme="minorHAnsi" w:cstheme="minorHAnsi"/>
        </w:rPr>
        <w:t xml:space="preserve"> </w:t>
      </w:r>
      <w:r w:rsidRPr="00CD4BCE">
        <w:rPr>
          <w:rFonts w:asciiTheme="minorHAnsi" w:hAnsiTheme="minorHAnsi" w:cstheme="minorHAnsi"/>
        </w:rPr>
        <w:t>materials and outlines practical fire prevention and mitigation strategies for existing and new buildings.</w:t>
      </w:r>
    </w:p>
    <w:p w14:paraId="067734F2" w14:textId="3BD8F389"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“Combustible-core </w:t>
      </w:r>
      <w:r w:rsidR="008B4B07">
        <w:rPr>
          <w:rFonts w:asciiTheme="minorHAnsi" w:hAnsiTheme="minorHAnsi" w:cstheme="minorHAnsi"/>
        </w:rPr>
        <w:t>sandwich</w:t>
      </w:r>
      <w:r w:rsidR="008B4B07" w:rsidRPr="00CD4BCE">
        <w:rPr>
          <w:rFonts w:asciiTheme="minorHAnsi" w:hAnsiTheme="minorHAnsi" w:cstheme="minorHAnsi"/>
        </w:rPr>
        <w:t xml:space="preserve"> </w:t>
      </w:r>
      <w:r w:rsidRPr="00CD4BCE">
        <w:rPr>
          <w:rFonts w:asciiTheme="minorHAnsi" w:hAnsiTheme="minorHAnsi" w:cstheme="minorHAnsi"/>
        </w:rPr>
        <w:t xml:space="preserve">panels are not without risk, but careful selection and the implementation of sound fire protection strategies can reduce those risks to levels that are as low as reasonably practicable,” says </w:t>
      </w:r>
      <w:r w:rsidR="00EF12D5">
        <w:rPr>
          <w:rFonts w:asciiTheme="minorHAnsi" w:hAnsiTheme="minorHAnsi" w:cstheme="minorHAnsi"/>
        </w:rPr>
        <w:t>v</w:t>
      </w:r>
      <w:r w:rsidRPr="00CD4BCE">
        <w:rPr>
          <w:rFonts w:asciiTheme="minorHAnsi" w:hAnsiTheme="minorHAnsi" w:cstheme="minorHAnsi"/>
        </w:rPr>
        <w:t>an Niekerk.</w:t>
      </w:r>
    </w:p>
    <w:p w14:paraId="22771266" w14:textId="665CBEE0" w:rsidR="00CD4BCE" w:rsidRPr="00CD4BCE" w:rsidRDefault="00CD4BCE" w:rsidP="00CD4BCE">
      <w:pPr>
        <w:tabs>
          <w:tab w:val="right" w:pos="9026"/>
        </w:tabs>
        <w:spacing w:after="160"/>
        <w:rPr>
          <w:rFonts w:asciiTheme="minorHAnsi" w:hAnsiTheme="minorHAnsi" w:cstheme="minorHAnsi"/>
        </w:rPr>
      </w:pPr>
      <w:bookmarkStart w:id="0" w:name="_Hlk231886272"/>
      <w:r w:rsidRPr="00CD4BCE">
        <w:rPr>
          <w:rFonts w:asciiTheme="minorHAnsi" w:hAnsiTheme="minorHAnsi" w:cstheme="minorHAnsi"/>
        </w:rPr>
        <w:t xml:space="preserve">The report notes that plastic-based construction materials, particularly insulated panel cores, have long presented challenges for fire engineers. </w:t>
      </w:r>
      <w:bookmarkStart w:id="1" w:name="_Hlk231886306"/>
      <w:bookmarkEnd w:id="0"/>
      <w:r w:rsidRPr="00CD4BCE">
        <w:rPr>
          <w:rFonts w:asciiTheme="minorHAnsi" w:hAnsiTheme="minorHAnsi" w:cstheme="minorHAnsi"/>
        </w:rPr>
        <w:t xml:space="preserve">However, </w:t>
      </w:r>
      <w:r>
        <w:rPr>
          <w:rFonts w:asciiTheme="minorHAnsi" w:hAnsiTheme="minorHAnsi" w:cstheme="minorHAnsi"/>
        </w:rPr>
        <w:t>v</w:t>
      </w:r>
      <w:r w:rsidRPr="00CD4BCE">
        <w:rPr>
          <w:rFonts w:asciiTheme="minorHAnsi" w:hAnsiTheme="minorHAnsi" w:cstheme="minorHAnsi"/>
        </w:rPr>
        <w:t>an Niekerk argues that the focus should shift from simplistic material bans towards understanding ignition sources, fire propagation risks and practical engineering controls.</w:t>
      </w:r>
    </w:p>
    <w:bookmarkEnd w:id="1"/>
    <w:p w14:paraId="0283552F" w14:textId="510B0F8E"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According to the report, the leading causes of industrial fires remain electrical failures and heat-source malfunction, rather than the </w:t>
      </w:r>
      <w:r w:rsidR="002E6FA2" w:rsidRPr="002E6FA2">
        <w:rPr>
          <w:rFonts w:asciiTheme="minorHAnsi" w:hAnsiTheme="minorHAnsi" w:cstheme="minorHAnsi"/>
        </w:rPr>
        <w:t>combustible-core sandwich panels</w:t>
      </w:r>
      <w:r w:rsidR="002E6FA2" w:rsidRPr="002E6FA2" w:rsidDel="002E6FA2">
        <w:rPr>
          <w:rFonts w:asciiTheme="minorHAnsi" w:hAnsiTheme="minorHAnsi" w:cstheme="minorHAnsi"/>
        </w:rPr>
        <w:t xml:space="preserve"> </w:t>
      </w:r>
      <w:r w:rsidRPr="00CD4BCE">
        <w:rPr>
          <w:rFonts w:asciiTheme="minorHAnsi" w:hAnsiTheme="minorHAnsi" w:cstheme="minorHAnsi"/>
        </w:rPr>
        <w:t>themselves. Citing NFPA research into industrial and manufacturing fires between 2017 and 2021, the report highlights electrical distribution equipment, lighting systems and power transfer infrastructure as major ignition contributors.</w:t>
      </w:r>
    </w:p>
    <w:p w14:paraId="39FBEEEA" w14:textId="7946ED00" w:rsidR="00CD4BCE" w:rsidRPr="00CD4BCE" w:rsidRDefault="00CD4BCE" w:rsidP="00CD4BCE">
      <w:pPr>
        <w:tabs>
          <w:tab w:val="right" w:pos="9026"/>
        </w:tabs>
        <w:spacing w:after="160"/>
        <w:rPr>
          <w:rFonts w:asciiTheme="minorHAnsi" w:hAnsiTheme="minorHAnsi" w:cstheme="minorHAnsi"/>
          <w:b/>
          <w:bCs/>
        </w:rPr>
      </w:pPr>
      <w:r w:rsidRPr="00CD4BCE">
        <w:rPr>
          <w:rFonts w:asciiTheme="minorHAnsi" w:hAnsiTheme="minorHAnsi" w:cstheme="minorHAnsi"/>
          <w:b/>
          <w:bCs/>
        </w:rPr>
        <w:t>Understanding core material risk</w:t>
      </w:r>
    </w:p>
    <w:p w14:paraId="2E9B8897" w14:textId="06C7D4D2" w:rsidR="00CD4BCE" w:rsidRPr="00CD4BCE" w:rsidRDefault="00CD4BCE" w:rsidP="00CD4BCE">
      <w:pPr>
        <w:tabs>
          <w:tab w:val="right" w:pos="9026"/>
        </w:tabs>
        <w:spacing w:after="160"/>
        <w:rPr>
          <w:rFonts w:asciiTheme="minorHAnsi" w:hAnsiTheme="minorHAnsi" w:cstheme="minorHAnsi"/>
        </w:rPr>
      </w:pPr>
      <w:bookmarkStart w:id="2" w:name="_Hlk231886330"/>
      <w:r w:rsidRPr="00CD4BCE">
        <w:rPr>
          <w:rFonts w:asciiTheme="minorHAnsi" w:hAnsiTheme="minorHAnsi" w:cstheme="minorHAnsi"/>
        </w:rPr>
        <w:t xml:space="preserve">The report evaluates the fire performance of several common </w:t>
      </w:r>
      <w:r w:rsidR="002E6FA2" w:rsidRPr="002E6FA2">
        <w:rPr>
          <w:rFonts w:asciiTheme="minorHAnsi" w:hAnsiTheme="minorHAnsi" w:cstheme="minorHAnsi"/>
        </w:rPr>
        <w:t>combustible-core sandwich panel</w:t>
      </w:r>
      <w:r w:rsidR="002E6FA2" w:rsidRPr="002E6FA2" w:rsidDel="002E6FA2">
        <w:rPr>
          <w:rFonts w:asciiTheme="minorHAnsi" w:hAnsiTheme="minorHAnsi" w:cstheme="minorHAnsi"/>
        </w:rPr>
        <w:t xml:space="preserve"> </w:t>
      </w:r>
      <w:r w:rsidRPr="00CD4BCE">
        <w:rPr>
          <w:rFonts w:asciiTheme="minorHAnsi" w:hAnsiTheme="minorHAnsi" w:cstheme="minorHAnsi"/>
        </w:rPr>
        <w:t>materials, including expanded polystyrene (EPS), polyurethane (PU), polyisocyanurate (PIR), phenolic foam, mineral wool and vacuum insulated panels.</w:t>
      </w:r>
    </w:p>
    <w:bookmarkEnd w:id="2"/>
    <w:p w14:paraId="1C9E9001" w14:textId="4568525C"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A central focus is the Limiting Oxygen Index (LOI), which measures the minimum oxygen concentration required to sustain combustion. Materials with an LOI below 24% are considered capable of sustaining combustion in normal atmospheric conditions, while higher-LOI materials are less likely to propagate fire.</w:t>
      </w:r>
    </w:p>
    <w:p w14:paraId="539463F8" w14:textId="4E2C68FD"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The report distinguishes between standard EPS cores and fire-retardant EPS products. While standard EPS can sustain combustion and contribute to fire spread, fire-retardant EPS with an LOI above 24% will generally self-extinguish once an ignition source is removed.</w:t>
      </w:r>
    </w:p>
    <w:p w14:paraId="0C14F707" w14:textId="3414E3CC"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Van Niekerk notes that many misconceptions exist regarding </w:t>
      </w:r>
      <w:r w:rsidR="002E6FA2" w:rsidRPr="002E6FA2">
        <w:rPr>
          <w:rFonts w:asciiTheme="minorHAnsi" w:hAnsiTheme="minorHAnsi" w:cstheme="minorHAnsi"/>
        </w:rPr>
        <w:t>combustible-core sandwich panel</w:t>
      </w:r>
      <w:r w:rsidR="002E6FA2" w:rsidRPr="002E6FA2" w:rsidDel="002E6FA2">
        <w:rPr>
          <w:rFonts w:asciiTheme="minorHAnsi" w:hAnsiTheme="minorHAnsi" w:cstheme="minorHAnsi"/>
        </w:rPr>
        <w:t xml:space="preserve"> </w:t>
      </w:r>
      <w:r w:rsidRPr="00CD4BCE">
        <w:rPr>
          <w:rFonts w:asciiTheme="minorHAnsi" w:hAnsiTheme="minorHAnsi" w:cstheme="minorHAnsi"/>
        </w:rPr>
        <w:t>systems.</w:t>
      </w:r>
      <w:r>
        <w:rPr>
          <w:rFonts w:asciiTheme="minorHAnsi" w:hAnsiTheme="minorHAnsi" w:cstheme="minorHAnsi"/>
        </w:rPr>
        <w:t xml:space="preserve"> </w:t>
      </w:r>
      <w:r w:rsidRPr="00CD4BCE">
        <w:rPr>
          <w:rFonts w:asciiTheme="minorHAnsi" w:hAnsiTheme="minorHAnsi" w:cstheme="minorHAnsi"/>
        </w:rPr>
        <w:t xml:space="preserve">“Most </w:t>
      </w:r>
      <w:r w:rsidR="00AA7A10">
        <w:rPr>
          <w:rFonts w:asciiTheme="minorHAnsi" w:hAnsiTheme="minorHAnsi" w:cstheme="minorHAnsi"/>
        </w:rPr>
        <w:t>combustible sandwich</w:t>
      </w:r>
      <w:r w:rsidR="00AA7A10" w:rsidRPr="00CD4BCE">
        <w:rPr>
          <w:rFonts w:asciiTheme="minorHAnsi" w:hAnsiTheme="minorHAnsi" w:cstheme="minorHAnsi"/>
        </w:rPr>
        <w:t xml:space="preserve"> </w:t>
      </w:r>
      <w:r w:rsidR="00AA7A10">
        <w:rPr>
          <w:rFonts w:asciiTheme="minorHAnsi" w:hAnsiTheme="minorHAnsi" w:cstheme="minorHAnsi"/>
        </w:rPr>
        <w:t>insulation</w:t>
      </w:r>
      <w:r w:rsidRPr="00CD4BCE">
        <w:rPr>
          <w:rFonts w:asciiTheme="minorHAnsi" w:hAnsiTheme="minorHAnsi" w:cstheme="minorHAnsi"/>
        </w:rPr>
        <w:t xml:space="preserve"> panels are not structurally integral to the building itself,” he explains. “In many cases they function as cladding or internal environmental enclosures. The actual structural integrity remains dependent on the steel, concrete or masonry framework.”</w:t>
      </w:r>
    </w:p>
    <w:p w14:paraId="3BC744AF" w14:textId="3EB9C906"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The report also stresses that </w:t>
      </w:r>
      <w:r w:rsidR="002E6FA2" w:rsidRPr="002E6FA2">
        <w:rPr>
          <w:rFonts w:asciiTheme="minorHAnsi" w:hAnsiTheme="minorHAnsi" w:cstheme="minorHAnsi"/>
        </w:rPr>
        <w:t>combustible-core sandwich panel</w:t>
      </w:r>
      <w:r w:rsidR="002E6FA2">
        <w:rPr>
          <w:rFonts w:asciiTheme="minorHAnsi" w:hAnsiTheme="minorHAnsi" w:cstheme="minorHAnsi"/>
        </w:rPr>
        <w:t>s</w:t>
      </w:r>
      <w:r w:rsidR="002E6FA2" w:rsidRPr="002E6FA2" w:rsidDel="002E6FA2">
        <w:rPr>
          <w:rFonts w:asciiTheme="minorHAnsi" w:hAnsiTheme="minorHAnsi" w:cstheme="minorHAnsi"/>
        </w:rPr>
        <w:t xml:space="preserve"> </w:t>
      </w:r>
      <w:r w:rsidRPr="00CD4BCE">
        <w:rPr>
          <w:rFonts w:asciiTheme="minorHAnsi" w:hAnsiTheme="minorHAnsi" w:cstheme="minorHAnsi"/>
        </w:rPr>
        <w:t>typically become significantly involved only after flashover conditions are reached within a building</w:t>
      </w:r>
      <w:r>
        <w:rPr>
          <w:rFonts w:asciiTheme="minorHAnsi" w:hAnsiTheme="minorHAnsi" w:cstheme="minorHAnsi"/>
        </w:rPr>
        <w:t>,</w:t>
      </w:r>
      <w:r w:rsidRPr="00CD4BCE">
        <w:rPr>
          <w:rFonts w:asciiTheme="minorHAnsi" w:hAnsiTheme="minorHAnsi" w:cstheme="minorHAnsi"/>
        </w:rPr>
        <w:t xml:space="preserve"> generally at enclosure </w:t>
      </w:r>
      <w:r w:rsidRPr="00CD4BCE">
        <w:rPr>
          <w:rFonts w:asciiTheme="minorHAnsi" w:hAnsiTheme="minorHAnsi" w:cstheme="minorHAnsi"/>
        </w:rPr>
        <w:lastRenderedPageBreak/>
        <w:t>temperatures above 600°C</w:t>
      </w:r>
      <w:r>
        <w:rPr>
          <w:rFonts w:asciiTheme="minorHAnsi" w:hAnsiTheme="minorHAnsi" w:cstheme="minorHAnsi"/>
        </w:rPr>
        <w:t>,</w:t>
      </w:r>
      <w:r w:rsidRPr="00CD4BCE">
        <w:rPr>
          <w:rFonts w:asciiTheme="minorHAnsi" w:hAnsiTheme="minorHAnsi" w:cstheme="minorHAnsi"/>
        </w:rPr>
        <w:t xml:space="preserve"> by which point the contents of the building are already contributing substantial heat release.</w:t>
      </w:r>
    </w:p>
    <w:p w14:paraId="0D2AE64C" w14:textId="4E6F0BF3" w:rsidR="00CD4BCE" w:rsidRPr="00CD4BCE" w:rsidRDefault="00CD4BCE" w:rsidP="00CD4BCE">
      <w:pPr>
        <w:tabs>
          <w:tab w:val="right" w:pos="9026"/>
        </w:tabs>
        <w:spacing w:after="160"/>
        <w:rPr>
          <w:rFonts w:asciiTheme="minorHAnsi" w:hAnsiTheme="minorHAnsi" w:cstheme="minorHAnsi"/>
          <w:b/>
          <w:bCs/>
        </w:rPr>
      </w:pPr>
      <w:r w:rsidRPr="00CD4BCE">
        <w:rPr>
          <w:rFonts w:asciiTheme="minorHAnsi" w:hAnsiTheme="minorHAnsi" w:cstheme="minorHAnsi"/>
          <w:b/>
          <w:bCs/>
        </w:rPr>
        <w:t>Practical mitigation strategies</w:t>
      </w:r>
    </w:p>
    <w:p w14:paraId="221EB585" w14:textId="7861C47E"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Rather than advocating wholesale replacement of </w:t>
      </w:r>
      <w:r w:rsidR="002E6FA2" w:rsidRPr="002E6FA2">
        <w:rPr>
          <w:rFonts w:asciiTheme="minorHAnsi" w:hAnsiTheme="minorHAnsi" w:cstheme="minorHAnsi"/>
        </w:rPr>
        <w:t>combustible-core sandwich panels</w:t>
      </w:r>
      <w:r w:rsidR="002E6FA2" w:rsidRPr="002E6FA2" w:rsidDel="002E6FA2">
        <w:rPr>
          <w:rFonts w:asciiTheme="minorHAnsi" w:hAnsiTheme="minorHAnsi" w:cstheme="minorHAnsi"/>
        </w:rPr>
        <w:t xml:space="preserve"> </w:t>
      </w:r>
      <w:r w:rsidRPr="00CD4BCE">
        <w:rPr>
          <w:rFonts w:asciiTheme="minorHAnsi" w:hAnsiTheme="minorHAnsi" w:cstheme="minorHAnsi"/>
        </w:rPr>
        <w:t>, the report outlines layered fire prevention and suppression strategies that can substantially reduce ignition risk.</w:t>
      </w:r>
    </w:p>
    <w:p w14:paraId="52940A48" w14:textId="127A3AC5"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Recommended interventions include:</w:t>
      </w:r>
    </w:p>
    <w:p w14:paraId="145B591B" w14:textId="77777777"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Rigorous electrical inspection, monitoring and thermal scanning programmes</w:t>
      </w:r>
    </w:p>
    <w:p w14:paraId="0F761855" w14:textId="196BB117"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Earth leakage</w:t>
      </w:r>
      <w:r w:rsidR="001A7482">
        <w:rPr>
          <w:rFonts w:asciiTheme="minorHAnsi" w:hAnsiTheme="minorHAnsi" w:cstheme="minorHAnsi"/>
        </w:rPr>
        <w:t xml:space="preserve">, </w:t>
      </w:r>
      <w:r w:rsidR="002E6FA2">
        <w:rPr>
          <w:rFonts w:asciiTheme="minorHAnsi" w:hAnsiTheme="minorHAnsi" w:cstheme="minorHAnsi"/>
        </w:rPr>
        <w:t>a</w:t>
      </w:r>
      <w:r w:rsidR="001A7482">
        <w:rPr>
          <w:rFonts w:asciiTheme="minorHAnsi" w:hAnsiTheme="minorHAnsi" w:cstheme="minorHAnsi"/>
        </w:rPr>
        <w:t xml:space="preserve">rc </w:t>
      </w:r>
      <w:r w:rsidR="002E6FA2">
        <w:rPr>
          <w:rFonts w:asciiTheme="minorHAnsi" w:hAnsiTheme="minorHAnsi" w:cstheme="minorHAnsi"/>
        </w:rPr>
        <w:t>f</w:t>
      </w:r>
      <w:r w:rsidR="001A7482">
        <w:rPr>
          <w:rFonts w:asciiTheme="minorHAnsi" w:hAnsiTheme="minorHAnsi" w:cstheme="minorHAnsi"/>
        </w:rPr>
        <w:t xml:space="preserve">ault </w:t>
      </w:r>
      <w:r w:rsidR="002E6FA2">
        <w:rPr>
          <w:rFonts w:asciiTheme="minorHAnsi" w:hAnsiTheme="minorHAnsi" w:cstheme="minorHAnsi"/>
        </w:rPr>
        <w:t>d</w:t>
      </w:r>
      <w:r w:rsidR="001A7482">
        <w:rPr>
          <w:rFonts w:asciiTheme="minorHAnsi" w:hAnsiTheme="minorHAnsi" w:cstheme="minorHAnsi"/>
        </w:rPr>
        <w:t xml:space="preserve">etection </w:t>
      </w:r>
      <w:r w:rsidR="002E6FA2">
        <w:rPr>
          <w:rFonts w:asciiTheme="minorHAnsi" w:hAnsiTheme="minorHAnsi" w:cstheme="minorHAnsi"/>
        </w:rPr>
        <w:t>d</w:t>
      </w:r>
      <w:r w:rsidR="001A7482">
        <w:rPr>
          <w:rFonts w:asciiTheme="minorHAnsi" w:hAnsiTheme="minorHAnsi" w:cstheme="minorHAnsi"/>
        </w:rPr>
        <w:t>evices</w:t>
      </w:r>
      <w:r w:rsidRPr="00CD4BCE">
        <w:rPr>
          <w:rFonts w:asciiTheme="minorHAnsi" w:hAnsiTheme="minorHAnsi" w:cstheme="minorHAnsi"/>
        </w:rPr>
        <w:t xml:space="preserve"> and overload protection systems</w:t>
      </w:r>
    </w:p>
    <w:p w14:paraId="40903F35" w14:textId="77777777"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Thermal CCTV monitoring linked to 24/7 response capability</w:t>
      </w:r>
    </w:p>
    <w:p w14:paraId="78D5B548" w14:textId="26F7B6B9"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Early warning fire detection systems</w:t>
      </w:r>
      <w:r w:rsidR="000E36A9">
        <w:rPr>
          <w:rFonts w:asciiTheme="minorHAnsi" w:hAnsiTheme="minorHAnsi" w:cstheme="minorHAnsi"/>
        </w:rPr>
        <w:t xml:space="preserve"> </w:t>
      </w:r>
      <w:r w:rsidR="000E36A9" w:rsidRPr="00CD4BCE">
        <w:rPr>
          <w:rFonts w:asciiTheme="minorHAnsi" w:hAnsiTheme="minorHAnsi" w:cstheme="minorHAnsi"/>
        </w:rPr>
        <w:t>linked to 24/7 response capability</w:t>
      </w:r>
    </w:p>
    <w:p w14:paraId="399893FA" w14:textId="77777777"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Automatic gaseous suppression within electrical distribution boards</w:t>
      </w:r>
    </w:p>
    <w:p w14:paraId="2D71AB5F" w14:textId="77777777"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Improved compartmentalisation</w:t>
      </w:r>
    </w:p>
    <w:p w14:paraId="7CC83546" w14:textId="01FBAC55"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Spark arresting and ember-trap systems for direct</w:t>
      </w:r>
      <w:r w:rsidR="000E36A9">
        <w:rPr>
          <w:rFonts w:asciiTheme="minorHAnsi" w:hAnsiTheme="minorHAnsi" w:cstheme="minorHAnsi"/>
        </w:rPr>
        <w:t>, solid</w:t>
      </w:r>
      <w:r w:rsidRPr="00CD4BCE">
        <w:rPr>
          <w:rFonts w:asciiTheme="minorHAnsi" w:hAnsiTheme="minorHAnsi" w:cstheme="minorHAnsi"/>
        </w:rPr>
        <w:t>-fuel heating applications</w:t>
      </w:r>
    </w:p>
    <w:p w14:paraId="404978B9" w14:textId="02BA5C33" w:rsidR="00CD4BCE" w:rsidRPr="00CD4BCE" w:rsidRDefault="00CD4BCE" w:rsidP="00CD4BCE">
      <w:pPr>
        <w:pStyle w:val="ListParagraph"/>
        <w:numPr>
          <w:ilvl w:val="0"/>
          <w:numId w:val="6"/>
        </w:numPr>
        <w:tabs>
          <w:tab w:val="right" w:pos="9026"/>
        </w:tabs>
        <w:spacing w:after="160"/>
        <w:rPr>
          <w:rFonts w:asciiTheme="minorHAnsi" w:hAnsiTheme="minorHAnsi" w:cstheme="minorHAnsi"/>
        </w:rPr>
      </w:pPr>
      <w:r w:rsidRPr="00CD4BCE">
        <w:rPr>
          <w:rFonts w:asciiTheme="minorHAnsi" w:hAnsiTheme="minorHAnsi" w:cstheme="minorHAnsi"/>
        </w:rPr>
        <w:t>Sprinkler protection where building size or storage</w:t>
      </w:r>
      <w:r w:rsidR="00781A0D">
        <w:rPr>
          <w:rFonts w:asciiTheme="minorHAnsi" w:hAnsiTheme="minorHAnsi" w:cstheme="minorHAnsi"/>
        </w:rPr>
        <w:t xml:space="preserve"> height</w:t>
      </w:r>
      <w:r w:rsidRPr="00CD4BCE">
        <w:rPr>
          <w:rFonts w:asciiTheme="minorHAnsi" w:hAnsiTheme="minorHAnsi" w:cstheme="minorHAnsi"/>
        </w:rPr>
        <w:t xml:space="preserve"> thresholds require it</w:t>
      </w:r>
    </w:p>
    <w:p w14:paraId="3D24A5B2" w14:textId="2ADA95CA"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The report argues that these measures can often provide more practical and cost-effective risk reduction than wholesale replacement of </w:t>
      </w:r>
      <w:r w:rsidR="002E6FA2" w:rsidRPr="002E6FA2">
        <w:rPr>
          <w:rFonts w:asciiTheme="minorHAnsi" w:hAnsiTheme="minorHAnsi" w:cstheme="minorHAnsi"/>
        </w:rPr>
        <w:t>combustible-core sandwich panels</w:t>
      </w:r>
      <w:r w:rsidRPr="00CD4BCE">
        <w:rPr>
          <w:rFonts w:asciiTheme="minorHAnsi" w:hAnsiTheme="minorHAnsi" w:cstheme="minorHAnsi"/>
        </w:rPr>
        <w:t>, particularly in commercially marginal industries.</w:t>
      </w:r>
    </w:p>
    <w:p w14:paraId="02077541" w14:textId="422CCE2D"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“Low-margin sectors such as poultry production simply cannot absorb the cost of replacing entire building envelopes with premium non-combustible systems,” says </w:t>
      </w:r>
      <w:r>
        <w:rPr>
          <w:rFonts w:asciiTheme="minorHAnsi" w:hAnsiTheme="minorHAnsi" w:cstheme="minorHAnsi"/>
        </w:rPr>
        <w:t>v</w:t>
      </w:r>
      <w:r w:rsidRPr="00CD4BCE">
        <w:rPr>
          <w:rFonts w:asciiTheme="minorHAnsi" w:hAnsiTheme="minorHAnsi" w:cstheme="minorHAnsi"/>
        </w:rPr>
        <w:t>an Niekerk. “The engineering challenge is therefore to identify and manage the real ignition and propagation risks appropriately.”</w:t>
      </w:r>
    </w:p>
    <w:p w14:paraId="29FA1C63" w14:textId="4BEE6C8A" w:rsidR="00CD4BCE" w:rsidRPr="00CD4BCE" w:rsidRDefault="00CD4BCE" w:rsidP="00CD4BCE">
      <w:pPr>
        <w:tabs>
          <w:tab w:val="right" w:pos="9026"/>
        </w:tabs>
        <w:spacing w:after="160"/>
        <w:rPr>
          <w:rFonts w:asciiTheme="minorHAnsi" w:hAnsiTheme="minorHAnsi" w:cstheme="minorHAnsi"/>
          <w:b/>
          <w:bCs/>
        </w:rPr>
      </w:pPr>
      <w:r w:rsidRPr="00CD4BCE">
        <w:rPr>
          <w:rFonts w:asciiTheme="minorHAnsi" w:hAnsiTheme="minorHAnsi" w:cstheme="minorHAnsi"/>
          <w:b/>
          <w:bCs/>
        </w:rPr>
        <w:t>Commercial realities remain critical</w:t>
      </w:r>
    </w:p>
    <w:p w14:paraId="0D719FD8" w14:textId="14C6BBF5"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The report further highlights the cost differential between core materials. According to the assessment, polyurethane and PIR panels can cost up to nearly double the price of fire-retardant EPS systems, while mineral wool and vacuum insulated panels can be even more expensive.</w:t>
      </w:r>
    </w:p>
    <w:p w14:paraId="3BC923EF" w14:textId="272566F8" w:rsidR="00CD4BCE" w:rsidRPr="00CD4BCE"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At the same time, some non-combustible solutions may not be technically suitable in certain environments. Mineral wool and glass wool systems, for example, can be problematic in high-humidity or condensation-prone applications due to mould formation risks.</w:t>
      </w:r>
    </w:p>
    <w:p w14:paraId="6012E887" w14:textId="496BF069" w:rsidR="00CD4BCE" w:rsidRPr="00CD4BCE" w:rsidRDefault="00CD4BCE" w:rsidP="00CD4BCE">
      <w:pPr>
        <w:tabs>
          <w:tab w:val="right" w:pos="9026"/>
        </w:tabs>
        <w:spacing w:after="160"/>
        <w:rPr>
          <w:rFonts w:asciiTheme="minorHAnsi" w:hAnsiTheme="minorHAnsi" w:cstheme="minorHAnsi"/>
        </w:rPr>
      </w:pPr>
      <w:r>
        <w:rPr>
          <w:rFonts w:asciiTheme="minorHAnsi" w:hAnsiTheme="minorHAnsi" w:cstheme="minorHAnsi"/>
        </w:rPr>
        <w:t>T</w:t>
      </w:r>
      <w:r w:rsidRPr="00CD4BCE">
        <w:rPr>
          <w:rFonts w:asciiTheme="minorHAnsi" w:hAnsiTheme="minorHAnsi" w:cstheme="minorHAnsi"/>
        </w:rPr>
        <w:t>his reinforces the need for context-specific fire engineering solutions rather than one-size-fits-all prescriptions.</w:t>
      </w:r>
      <w:r>
        <w:rPr>
          <w:rFonts w:asciiTheme="minorHAnsi" w:hAnsiTheme="minorHAnsi" w:cstheme="minorHAnsi"/>
        </w:rPr>
        <w:t xml:space="preserve"> </w:t>
      </w:r>
      <w:r w:rsidRPr="00CD4BCE">
        <w:rPr>
          <w:rFonts w:asciiTheme="minorHAnsi" w:hAnsiTheme="minorHAnsi" w:cstheme="minorHAnsi"/>
        </w:rPr>
        <w:t xml:space="preserve">“Fire safety must always remain the priority, but effective fire engineering requires a rational understanding of ignition sources, occupancy risks, building contents and operational realities,” </w:t>
      </w:r>
      <w:r w:rsidR="00EF12D5">
        <w:rPr>
          <w:rFonts w:asciiTheme="minorHAnsi" w:hAnsiTheme="minorHAnsi" w:cstheme="minorHAnsi"/>
        </w:rPr>
        <w:t>highlights</w:t>
      </w:r>
      <w:r>
        <w:rPr>
          <w:rFonts w:asciiTheme="minorHAnsi" w:hAnsiTheme="minorHAnsi" w:cstheme="minorHAnsi"/>
        </w:rPr>
        <w:t xml:space="preserve"> van Niekerk</w:t>
      </w:r>
      <w:r w:rsidRPr="00CD4BCE">
        <w:rPr>
          <w:rFonts w:asciiTheme="minorHAnsi" w:hAnsiTheme="minorHAnsi" w:cstheme="minorHAnsi"/>
        </w:rPr>
        <w:t>.</w:t>
      </w:r>
    </w:p>
    <w:p w14:paraId="081BE0BD" w14:textId="356510F3" w:rsidR="00C13A70" w:rsidRDefault="00CD4BCE" w:rsidP="00CD4BCE">
      <w:pPr>
        <w:tabs>
          <w:tab w:val="right" w:pos="9026"/>
        </w:tabs>
        <w:spacing w:after="160"/>
        <w:rPr>
          <w:rFonts w:asciiTheme="minorHAnsi" w:hAnsiTheme="minorHAnsi" w:cstheme="minorHAnsi"/>
        </w:rPr>
      </w:pPr>
      <w:r w:rsidRPr="00CD4BCE">
        <w:rPr>
          <w:rFonts w:asciiTheme="minorHAnsi" w:hAnsiTheme="minorHAnsi" w:cstheme="minorHAnsi"/>
        </w:rPr>
        <w:t xml:space="preserve">The report concludes that </w:t>
      </w:r>
      <w:r w:rsidR="008E149F">
        <w:rPr>
          <w:rFonts w:asciiTheme="minorHAnsi" w:hAnsiTheme="minorHAnsi" w:cstheme="minorHAnsi"/>
        </w:rPr>
        <w:t xml:space="preserve">high LOI </w:t>
      </w:r>
      <w:r w:rsidR="002E6FA2" w:rsidRPr="002E6FA2">
        <w:rPr>
          <w:rFonts w:asciiTheme="minorHAnsi" w:hAnsiTheme="minorHAnsi" w:cstheme="minorHAnsi"/>
        </w:rPr>
        <w:t>combustible-core sandwich panel</w:t>
      </w:r>
      <w:r w:rsidR="002E6FA2" w:rsidRPr="002E6FA2" w:rsidDel="002E6FA2">
        <w:rPr>
          <w:rFonts w:asciiTheme="minorHAnsi" w:hAnsiTheme="minorHAnsi" w:cstheme="minorHAnsi"/>
        </w:rPr>
        <w:t xml:space="preserve"> </w:t>
      </w:r>
      <w:r w:rsidRPr="00CD4BCE">
        <w:rPr>
          <w:rFonts w:asciiTheme="minorHAnsi" w:hAnsiTheme="minorHAnsi" w:cstheme="minorHAnsi"/>
        </w:rPr>
        <w:t>can be safely incorporated into buildings where appropriate fire engineering controls, early detection systems</w:t>
      </w:r>
      <w:r w:rsidR="008E149F">
        <w:rPr>
          <w:rFonts w:asciiTheme="minorHAnsi" w:hAnsiTheme="minorHAnsi" w:cstheme="minorHAnsi"/>
        </w:rPr>
        <w:t>, rapid fire response</w:t>
      </w:r>
      <w:r w:rsidRPr="00CD4BCE">
        <w:rPr>
          <w:rFonts w:asciiTheme="minorHAnsi" w:hAnsiTheme="minorHAnsi" w:cstheme="minorHAnsi"/>
        </w:rPr>
        <w:t xml:space="preserve"> and operational safeguards are properly implemented and maintained.</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Connect with ASP Fire on Social Media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 xml:space="preserve">ASP Fire operates across the entire African continent from its Gauteng base, providing professional, </w:t>
      </w:r>
      <w:r w:rsidRPr="002D0A24">
        <w:rPr>
          <w:color w:val="000000"/>
        </w:rPr>
        <w:lastRenderedPageBreak/>
        <w:t>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60114C"/>
    <w:multiLevelType w:val="hybridMultilevel"/>
    <w:tmpl w:val="A7E80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36A9"/>
    <w:rsid w:val="000E7CF2"/>
    <w:rsid w:val="000F36B9"/>
    <w:rsid w:val="0011465D"/>
    <w:rsid w:val="00136938"/>
    <w:rsid w:val="001375EB"/>
    <w:rsid w:val="001432FD"/>
    <w:rsid w:val="00146F69"/>
    <w:rsid w:val="0016661B"/>
    <w:rsid w:val="00181611"/>
    <w:rsid w:val="00183804"/>
    <w:rsid w:val="001926ED"/>
    <w:rsid w:val="001A20AA"/>
    <w:rsid w:val="001A7482"/>
    <w:rsid w:val="001B7F19"/>
    <w:rsid w:val="001D0180"/>
    <w:rsid w:val="001E192A"/>
    <w:rsid w:val="001E7FA6"/>
    <w:rsid w:val="0020786B"/>
    <w:rsid w:val="0021495F"/>
    <w:rsid w:val="00216D1A"/>
    <w:rsid w:val="002219C5"/>
    <w:rsid w:val="00230B38"/>
    <w:rsid w:val="00254EAA"/>
    <w:rsid w:val="002555B9"/>
    <w:rsid w:val="00266158"/>
    <w:rsid w:val="00274028"/>
    <w:rsid w:val="002802DE"/>
    <w:rsid w:val="002B1676"/>
    <w:rsid w:val="002D0990"/>
    <w:rsid w:val="002D0A24"/>
    <w:rsid w:val="002E6FA2"/>
    <w:rsid w:val="002E7AA8"/>
    <w:rsid w:val="002F0232"/>
    <w:rsid w:val="002F46F0"/>
    <w:rsid w:val="0032084B"/>
    <w:rsid w:val="00332C18"/>
    <w:rsid w:val="00334DE8"/>
    <w:rsid w:val="003507D1"/>
    <w:rsid w:val="0037082A"/>
    <w:rsid w:val="0038689E"/>
    <w:rsid w:val="00392586"/>
    <w:rsid w:val="003A6B59"/>
    <w:rsid w:val="003B5862"/>
    <w:rsid w:val="003C6979"/>
    <w:rsid w:val="003D2E79"/>
    <w:rsid w:val="003D5832"/>
    <w:rsid w:val="003D5FCD"/>
    <w:rsid w:val="003F7E55"/>
    <w:rsid w:val="0040286C"/>
    <w:rsid w:val="00405626"/>
    <w:rsid w:val="00417141"/>
    <w:rsid w:val="00441F63"/>
    <w:rsid w:val="004976AA"/>
    <w:rsid w:val="004B3FEF"/>
    <w:rsid w:val="004B6C98"/>
    <w:rsid w:val="004C1E7A"/>
    <w:rsid w:val="004C4531"/>
    <w:rsid w:val="004E0733"/>
    <w:rsid w:val="00503ADD"/>
    <w:rsid w:val="005147A2"/>
    <w:rsid w:val="0051569A"/>
    <w:rsid w:val="005279DC"/>
    <w:rsid w:val="005316DB"/>
    <w:rsid w:val="005458D2"/>
    <w:rsid w:val="00556E94"/>
    <w:rsid w:val="005614C0"/>
    <w:rsid w:val="0056475E"/>
    <w:rsid w:val="00565552"/>
    <w:rsid w:val="00567E36"/>
    <w:rsid w:val="00584DE8"/>
    <w:rsid w:val="005D30F1"/>
    <w:rsid w:val="00693FCE"/>
    <w:rsid w:val="00695783"/>
    <w:rsid w:val="006A48DA"/>
    <w:rsid w:val="006A5B0B"/>
    <w:rsid w:val="006B4A65"/>
    <w:rsid w:val="006D12A8"/>
    <w:rsid w:val="006E5ED1"/>
    <w:rsid w:val="00702481"/>
    <w:rsid w:val="007332AF"/>
    <w:rsid w:val="0075289E"/>
    <w:rsid w:val="007538D3"/>
    <w:rsid w:val="0075453C"/>
    <w:rsid w:val="00764C38"/>
    <w:rsid w:val="00777AD3"/>
    <w:rsid w:val="00781A0D"/>
    <w:rsid w:val="0078243F"/>
    <w:rsid w:val="00782823"/>
    <w:rsid w:val="0079610F"/>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97A28"/>
    <w:rsid w:val="008A7DAD"/>
    <w:rsid w:val="008B4B07"/>
    <w:rsid w:val="008E149F"/>
    <w:rsid w:val="008E4C3C"/>
    <w:rsid w:val="008E52F6"/>
    <w:rsid w:val="008F727F"/>
    <w:rsid w:val="00902DC3"/>
    <w:rsid w:val="00907D0C"/>
    <w:rsid w:val="009132A0"/>
    <w:rsid w:val="00925E3C"/>
    <w:rsid w:val="00930A46"/>
    <w:rsid w:val="00933C92"/>
    <w:rsid w:val="009340A0"/>
    <w:rsid w:val="009449F6"/>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2BEE"/>
    <w:rsid w:val="00A506A0"/>
    <w:rsid w:val="00A74555"/>
    <w:rsid w:val="00A74DD8"/>
    <w:rsid w:val="00A85D47"/>
    <w:rsid w:val="00AA31EB"/>
    <w:rsid w:val="00AA4027"/>
    <w:rsid w:val="00AA48FA"/>
    <w:rsid w:val="00AA7A10"/>
    <w:rsid w:val="00AB50D4"/>
    <w:rsid w:val="00AC7E72"/>
    <w:rsid w:val="00AD4658"/>
    <w:rsid w:val="00AE1DE2"/>
    <w:rsid w:val="00AE6D68"/>
    <w:rsid w:val="00B05850"/>
    <w:rsid w:val="00B167B8"/>
    <w:rsid w:val="00B2083C"/>
    <w:rsid w:val="00B23C1D"/>
    <w:rsid w:val="00B25032"/>
    <w:rsid w:val="00B42F47"/>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D2788"/>
    <w:rsid w:val="00CD4BCE"/>
    <w:rsid w:val="00CE6584"/>
    <w:rsid w:val="00CF0A57"/>
    <w:rsid w:val="00D011A1"/>
    <w:rsid w:val="00D04F51"/>
    <w:rsid w:val="00D066DC"/>
    <w:rsid w:val="00D1043C"/>
    <w:rsid w:val="00D27B04"/>
    <w:rsid w:val="00D474CF"/>
    <w:rsid w:val="00D569E5"/>
    <w:rsid w:val="00D8481B"/>
    <w:rsid w:val="00DA0D75"/>
    <w:rsid w:val="00DB3249"/>
    <w:rsid w:val="00DB657B"/>
    <w:rsid w:val="00DC1E66"/>
    <w:rsid w:val="00DD1A99"/>
    <w:rsid w:val="00DD3C9C"/>
    <w:rsid w:val="00DE63CB"/>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EF12D5"/>
    <w:rsid w:val="00F42716"/>
    <w:rsid w:val="00F56DBA"/>
    <w:rsid w:val="00F56FB4"/>
    <w:rsid w:val="00F6153D"/>
    <w:rsid w:val="00F678C8"/>
    <w:rsid w:val="00F864D0"/>
    <w:rsid w:val="00F955A7"/>
    <w:rsid w:val="00FB4F5A"/>
    <w:rsid w:val="00FC7B4F"/>
    <w:rsid w:val="00FE0E58"/>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 w:type="character" w:styleId="FollowedHyperlink">
    <w:name w:val="FollowedHyperlink"/>
    <w:basedOn w:val="DefaultParagraphFont"/>
    <w:uiPriority w:val="99"/>
    <w:semiHidden/>
    <w:unhideWhenUsed/>
    <w:rsid w:val="0089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3</cp:revision>
  <cp:lastPrinted>2020-01-28T09:18:00Z</cp:lastPrinted>
  <dcterms:created xsi:type="dcterms:W3CDTF">2026-06-08T06:33:00Z</dcterms:created>
  <dcterms:modified xsi:type="dcterms:W3CDTF">2026-06-09T06:32:00Z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