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45810" w14:textId="6D5A4148" w:rsidR="00AC57F0" w:rsidRPr="004216BA" w:rsidRDefault="00AC57F0" w:rsidP="00AC57F0">
      <w:pPr>
        <w:rPr>
          <w:b/>
          <w:bCs/>
          <w:sz w:val="28"/>
          <w:szCs w:val="28"/>
        </w:rPr>
      </w:pPr>
      <w:r w:rsidRPr="004216BA">
        <w:rPr>
          <w:b/>
          <w:bCs/>
          <w:sz w:val="28"/>
          <w:szCs w:val="28"/>
        </w:rPr>
        <w:t>Powering Africa’s Future: Why Grid Moderni</w:t>
      </w:r>
      <w:r w:rsidR="004216BA">
        <w:rPr>
          <w:b/>
          <w:bCs/>
          <w:sz w:val="28"/>
          <w:szCs w:val="28"/>
        </w:rPr>
        <w:t>s</w:t>
      </w:r>
      <w:r w:rsidRPr="004216BA">
        <w:rPr>
          <w:b/>
          <w:bCs/>
          <w:sz w:val="28"/>
          <w:szCs w:val="28"/>
        </w:rPr>
        <w:t>ation Will Define the Energy Transition</w:t>
      </w:r>
    </w:p>
    <w:p w14:paraId="6A29D47E" w14:textId="77777777" w:rsidR="00FC1DD8" w:rsidRPr="004216BA" w:rsidRDefault="00FC1DD8" w:rsidP="00DB4F18"/>
    <w:p w14:paraId="29F94955" w14:textId="36208935" w:rsidR="003863EF" w:rsidRPr="004216BA" w:rsidRDefault="00DB4F18" w:rsidP="003863EF">
      <w:pPr>
        <w:rPr>
          <w:rFonts w:eastAsia="Aptos" w:cs="Arial"/>
          <w:kern w:val="2"/>
          <w:sz w:val="20"/>
          <w:szCs w:val="20"/>
          <w14:ligatures w14:val="standardContextual"/>
        </w:rPr>
      </w:pPr>
      <w:r w:rsidRPr="004216BA">
        <w:rPr>
          <w:b/>
        </w:rPr>
        <w:t xml:space="preserve">Johannesburg, South Africa, </w:t>
      </w:r>
      <w:r w:rsidR="003B2475" w:rsidRPr="004216BA">
        <w:rPr>
          <w:b/>
        </w:rPr>
        <w:t>2</w:t>
      </w:r>
      <w:r w:rsidR="00244A3F">
        <w:rPr>
          <w:b/>
        </w:rPr>
        <w:t>1</w:t>
      </w:r>
      <w:r w:rsidR="009813E3" w:rsidRPr="004216BA">
        <w:rPr>
          <w:b/>
        </w:rPr>
        <w:t xml:space="preserve"> </w:t>
      </w:r>
      <w:r w:rsidR="003B2475" w:rsidRPr="004216BA">
        <w:rPr>
          <w:b/>
        </w:rPr>
        <w:t>Ma</w:t>
      </w:r>
      <w:r w:rsidR="00F2129F" w:rsidRPr="004216BA">
        <w:rPr>
          <w:b/>
        </w:rPr>
        <w:t>y</w:t>
      </w:r>
      <w:r w:rsidR="004352E6" w:rsidRPr="004216BA">
        <w:rPr>
          <w:b/>
        </w:rPr>
        <w:t>, 202</w:t>
      </w:r>
      <w:r w:rsidR="00CC0050" w:rsidRPr="004216BA">
        <w:rPr>
          <w:b/>
        </w:rPr>
        <w:t xml:space="preserve">6 </w:t>
      </w:r>
      <w:r w:rsidR="00CC0050" w:rsidRPr="004216BA">
        <w:rPr>
          <w:bCs/>
        </w:rPr>
        <w:t>–</w:t>
      </w:r>
      <w:r w:rsidR="003863EF" w:rsidRPr="004216BA">
        <w:rPr>
          <w:bCs/>
        </w:rPr>
        <w:t xml:space="preserve"> </w:t>
      </w:r>
      <w:r w:rsidR="003863EF" w:rsidRPr="004216BA">
        <w:rPr>
          <w:rFonts w:eastAsia="Aptos" w:cs="Arial"/>
          <w:kern w:val="2"/>
          <w:sz w:val="20"/>
          <w:szCs w:val="20"/>
          <w14:ligatures w14:val="standardContextual"/>
        </w:rPr>
        <w:t>Africa’s energy transition has reached a decisive point. What was once a long-term ambition is now an immediate delivery challenge: how to provide reliable, affordable power at scale while building a system that can support future growth.</w:t>
      </w:r>
    </w:p>
    <w:p w14:paraId="5C21F7C0" w14:textId="77777777" w:rsidR="00B72416" w:rsidRPr="004216BA" w:rsidRDefault="00B72416" w:rsidP="003863EF">
      <w:pPr>
        <w:spacing w:after="160" w:line="278" w:lineRule="auto"/>
        <w:rPr>
          <w:rFonts w:eastAsia="Aptos" w:cs="Arial"/>
          <w:kern w:val="2"/>
          <w:sz w:val="20"/>
          <w:szCs w:val="20"/>
          <w14:ligatures w14:val="standardContextual"/>
        </w:rPr>
      </w:pPr>
    </w:p>
    <w:p w14:paraId="5B7F0EE7" w14:textId="0F982DCE"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The opportunity is clear. Africa has some of the world’s strongest renewable resources, abundant solar, significant wind corridors, and untapped hydro and geothermal potential. Yet more than 600 million people still lack reliable access to electricity. Even when power is available, outages, constraints, and rising costs remain a daily reality. In several markets, grid losses exceed 15%, reflecting systems under real strain.</w:t>
      </w:r>
    </w:p>
    <w:p w14:paraId="346BA9A2"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The path forward is not about ambition—it is about execution.</w:t>
      </w:r>
    </w:p>
    <w:p w14:paraId="21576D0B" w14:textId="77777777" w:rsidR="003863EF" w:rsidRPr="004216BA" w:rsidRDefault="003863EF" w:rsidP="003863EF">
      <w:pPr>
        <w:spacing w:after="160" w:line="278" w:lineRule="auto"/>
        <w:rPr>
          <w:rFonts w:eastAsia="Aptos" w:cs="Arial"/>
          <w:b/>
          <w:bCs/>
          <w:kern w:val="2"/>
          <w:sz w:val="20"/>
          <w:szCs w:val="20"/>
          <w14:ligatures w14:val="standardContextual"/>
        </w:rPr>
      </w:pPr>
      <w:r w:rsidRPr="004216BA">
        <w:rPr>
          <w:rFonts w:eastAsia="Aptos" w:cs="Arial"/>
          <w:b/>
          <w:bCs/>
          <w:kern w:val="2"/>
          <w:sz w:val="20"/>
          <w:szCs w:val="20"/>
          <w14:ligatures w14:val="standardContextual"/>
        </w:rPr>
        <w:t>Turning Plans into Delivery</w:t>
      </w:r>
    </w:p>
    <w:p w14:paraId="31FEF386"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Progress is visible across the continent. Countries such as South Africa, Egypt, and Morocco are scaling renewable energy programmes, while regulatory reforms are opening space for private investment. Regional power pools are also beginning to show what closer cooperation could deliver.</w:t>
      </w:r>
    </w:p>
    <w:p w14:paraId="1CD11BD2" w14:textId="46DA543F"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But generation alone will not close the gap. The constraint is increasingly the grid. Without stronger transmission and distribution networks, new capacity cannot be delivered efficiently, and renewable energy cannot be fully utili</w:t>
      </w:r>
      <w:r w:rsidR="004B7221">
        <w:rPr>
          <w:rFonts w:eastAsia="Aptos" w:cs="Arial"/>
          <w:kern w:val="2"/>
          <w:sz w:val="20"/>
          <w:szCs w:val="20"/>
          <w14:ligatures w14:val="standardContextual"/>
        </w:rPr>
        <w:t>s</w:t>
      </w:r>
      <w:r w:rsidRPr="004216BA">
        <w:rPr>
          <w:rFonts w:eastAsia="Aptos" w:cs="Arial"/>
          <w:kern w:val="2"/>
          <w:sz w:val="20"/>
          <w:szCs w:val="20"/>
          <w14:ligatures w14:val="standardContextual"/>
        </w:rPr>
        <w:t>ed.</w:t>
      </w:r>
    </w:p>
    <w:p w14:paraId="1D250D59"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The focus now must shift from building power to moving it, reliably, efficiently, and at scale.</w:t>
      </w:r>
    </w:p>
    <w:p w14:paraId="317DE2CE" w14:textId="7929BBFE" w:rsidR="003863EF" w:rsidRPr="004216BA" w:rsidRDefault="003863EF" w:rsidP="003863EF">
      <w:pPr>
        <w:spacing w:after="160" w:line="278" w:lineRule="auto"/>
        <w:rPr>
          <w:rFonts w:eastAsia="Aptos" w:cs="Arial"/>
          <w:b/>
          <w:bCs/>
          <w:kern w:val="2"/>
          <w:sz w:val="20"/>
          <w:szCs w:val="20"/>
          <w14:ligatures w14:val="standardContextual"/>
        </w:rPr>
      </w:pPr>
      <w:r w:rsidRPr="004216BA">
        <w:rPr>
          <w:rFonts w:eastAsia="Aptos" w:cs="Arial"/>
          <w:b/>
          <w:bCs/>
          <w:kern w:val="2"/>
          <w:sz w:val="20"/>
          <w:szCs w:val="20"/>
          <w14:ligatures w14:val="standardContextual"/>
        </w:rPr>
        <w:t>Why Grid Moderni</w:t>
      </w:r>
      <w:r w:rsidR="004B7221">
        <w:rPr>
          <w:rFonts w:eastAsia="Aptos" w:cs="Arial"/>
          <w:b/>
          <w:bCs/>
          <w:kern w:val="2"/>
          <w:sz w:val="20"/>
          <w:szCs w:val="20"/>
          <w14:ligatures w14:val="standardContextual"/>
        </w:rPr>
        <w:t>s</w:t>
      </w:r>
      <w:r w:rsidRPr="004216BA">
        <w:rPr>
          <w:rFonts w:eastAsia="Aptos" w:cs="Arial"/>
          <w:b/>
          <w:bCs/>
          <w:kern w:val="2"/>
          <w:sz w:val="20"/>
          <w:szCs w:val="20"/>
          <w14:ligatures w14:val="standardContextual"/>
        </w:rPr>
        <w:t>ation Comes First</w:t>
      </w:r>
    </w:p>
    <w:p w14:paraId="4572B9A6" w14:textId="614BAF70"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Grid moderni</w:t>
      </w:r>
      <w:r w:rsidR="006F6A94">
        <w:rPr>
          <w:rFonts w:eastAsia="Aptos" w:cs="Arial"/>
          <w:kern w:val="2"/>
          <w:sz w:val="20"/>
          <w:szCs w:val="20"/>
          <w14:ligatures w14:val="standardContextual"/>
        </w:rPr>
        <w:t>s</w:t>
      </w:r>
      <w:r w:rsidRPr="004216BA">
        <w:rPr>
          <w:rFonts w:eastAsia="Aptos" w:cs="Arial"/>
          <w:kern w:val="2"/>
          <w:sz w:val="20"/>
          <w:szCs w:val="20"/>
          <w14:ligatures w14:val="standardContextual"/>
        </w:rPr>
        <w:t>ation needs to move to the forefront of Africa’s energy strategy. A modern power system is no longer just physical infrastructure, it is a network that can see, respond, and adapt in real time.</w:t>
      </w:r>
    </w:p>
    <w:p w14:paraId="5D48F3B6" w14:textId="031048D6"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 xml:space="preserve">As renewable energy becomes a larger part of the mix, variability becomes unavoidable. Managing it requires better system visibility, faster control, and infrastructure that can handle changing flows of power. Technologies such as high-voltage direct current (HVDC) transmission make it possible to move large volumes of electricity over long distances with lower losses, critical in regions where generation is often far from demand </w:t>
      </w:r>
      <w:r w:rsidR="004B7221" w:rsidRPr="004216BA">
        <w:rPr>
          <w:rFonts w:eastAsia="Aptos" w:cs="Arial"/>
          <w:kern w:val="2"/>
          <w:sz w:val="20"/>
          <w:szCs w:val="20"/>
          <w14:ligatures w14:val="standardContextual"/>
        </w:rPr>
        <w:t>centres</w:t>
      </w:r>
      <w:r w:rsidRPr="004216BA">
        <w:rPr>
          <w:rFonts w:eastAsia="Aptos" w:cs="Arial"/>
          <w:kern w:val="2"/>
          <w:sz w:val="20"/>
          <w:szCs w:val="20"/>
          <w14:ligatures w14:val="standardContextual"/>
        </w:rPr>
        <w:t>.</w:t>
      </w:r>
    </w:p>
    <w:p w14:paraId="52BA8839" w14:textId="34F9FAE4"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At the same time, digital substations and automated grid management improve reliability and reduce downtime. They allow operators to respond more quickly to faults and optimi</w:t>
      </w:r>
      <w:r w:rsidR="006F6A94">
        <w:rPr>
          <w:rFonts w:eastAsia="Aptos" w:cs="Arial"/>
          <w:kern w:val="2"/>
          <w:sz w:val="20"/>
          <w:szCs w:val="20"/>
          <w14:ligatures w14:val="standardContextual"/>
        </w:rPr>
        <w:t>s</w:t>
      </w:r>
      <w:r w:rsidRPr="004216BA">
        <w:rPr>
          <w:rFonts w:eastAsia="Aptos" w:cs="Arial"/>
          <w:kern w:val="2"/>
          <w:sz w:val="20"/>
          <w:szCs w:val="20"/>
          <w14:ligatures w14:val="standardContextual"/>
        </w:rPr>
        <w:t>e performance across the system.</w:t>
      </w:r>
    </w:p>
    <w:p w14:paraId="5908DD41"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Stronger regional interconnections are just as important. Connecting national grids allows countries to share resources, balance supply and demand, and reduce the need for costly reserve capacity. Africa’s power pools provide a solid foundation, but deeper integration will be essential to unlock their full value.</w:t>
      </w:r>
    </w:p>
    <w:p w14:paraId="441CEBB1" w14:textId="77777777" w:rsidR="003863EF" w:rsidRPr="004216BA" w:rsidRDefault="003863EF" w:rsidP="003863EF">
      <w:pPr>
        <w:spacing w:after="160" w:line="278" w:lineRule="auto"/>
        <w:rPr>
          <w:rFonts w:eastAsia="Aptos" w:cs="Arial"/>
          <w:b/>
          <w:bCs/>
          <w:kern w:val="2"/>
          <w:sz w:val="20"/>
          <w:szCs w:val="20"/>
          <w14:ligatures w14:val="standardContextual"/>
        </w:rPr>
      </w:pPr>
      <w:r w:rsidRPr="004216BA">
        <w:rPr>
          <w:rFonts w:eastAsia="Aptos" w:cs="Arial"/>
          <w:b/>
          <w:bCs/>
          <w:kern w:val="2"/>
          <w:sz w:val="20"/>
          <w:szCs w:val="20"/>
          <w14:ligatures w14:val="standardContextual"/>
        </w:rPr>
        <w:t>Policy Must Keep Pace</w:t>
      </w:r>
    </w:p>
    <w:p w14:paraId="248AC06A"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Technology will not move at scale without the right policy environment.</w:t>
      </w:r>
    </w:p>
    <w:p w14:paraId="7A04778C"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There has been clear progress in many African markets. Competitive procurement frameworks, renewable energy targets, and market reforms are helping to attract investment. But challenges remain, particularly around regulatory consistency, permitting delays, and the financial sustainability of utilities.</w:t>
      </w:r>
    </w:p>
    <w:p w14:paraId="186B3C49"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The priorities are straightforward:</w:t>
      </w:r>
    </w:p>
    <w:p w14:paraId="64F46AE6" w14:textId="77777777" w:rsidR="003863EF" w:rsidRPr="004216BA" w:rsidRDefault="003863EF" w:rsidP="003863EF">
      <w:pPr>
        <w:numPr>
          <w:ilvl w:val="0"/>
          <w:numId w:val="6"/>
        </w:num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Provide long-term policy certainty</w:t>
      </w:r>
    </w:p>
    <w:p w14:paraId="0FB5E41B" w14:textId="77777777" w:rsidR="003863EF" w:rsidRPr="004216BA" w:rsidRDefault="003863EF" w:rsidP="003863EF">
      <w:pPr>
        <w:numPr>
          <w:ilvl w:val="0"/>
          <w:numId w:val="6"/>
        </w:num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Shorten approval timelines</w:t>
      </w:r>
    </w:p>
    <w:p w14:paraId="4FFC9E86" w14:textId="77777777" w:rsidR="003863EF" w:rsidRPr="004216BA" w:rsidRDefault="003863EF" w:rsidP="003863EF">
      <w:pPr>
        <w:numPr>
          <w:ilvl w:val="0"/>
          <w:numId w:val="6"/>
        </w:num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lastRenderedPageBreak/>
        <w:t>Strengthen utility balance sheets</w:t>
      </w:r>
    </w:p>
    <w:p w14:paraId="295A55CB" w14:textId="77777777" w:rsidR="003863EF" w:rsidRPr="004216BA" w:rsidRDefault="003863EF" w:rsidP="003863EF">
      <w:pPr>
        <w:numPr>
          <w:ilvl w:val="0"/>
          <w:numId w:val="6"/>
        </w:num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Create incentives that support both clean energy and grid investment</w:t>
      </w:r>
    </w:p>
    <w:p w14:paraId="099A21CB"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Public-private partnerships will continue to play a central role, especially in transmission infrastructure, where the scale of investment required is significant.</w:t>
      </w:r>
    </w:p>
    <w:p w14:paraId="790F2270" w14:textId="77777777" w:rsidR="003863EF" w:rsidRPr="004216BA" w:rsidRDefault="003863EF" w:rsidP="003863EF">
      <w:pPr>
        <w:spacing w:after="160" w:line="278" w:lineRule="auto"/>
        <w:rPr>
          <w:rFonts w:eastAsia="Aptos" w:cs="Arial"/>
          <w:b/>
          <w:bCs/>
          <w:kern w:val="2"/>
          <w:sz w:val="20"/>
          <w:szCs w:val="20"/>
          <w14:ligatures w14:val="standardContextual"/>
        </w:rPr>
      </w:pPr>
      <w:r w:rsidRPr="004216BA">
        <w:rPr>
          <w:rFonts w:eastAsia="Aptos" w:cs="Arial"/>
          <w:b/>
          <w:bCs/>
          <w:kern w:val="2"/>
          <w:sz w:val="20"/>
          <w:szCs w:val="20"/>
          <w14:ligatures w14:val="standardContextual"/>
        </w:rPr>
        <w:t>Five Priorities for a Secure Energy Future</w:t>
      </w:r>
    </w:p>
    <w:p w14:paraId="54A91DA5"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Five areas stand out if Africa is to build a more secure and sustainable power system:</w:t>
      </w:r>
    </w:p>
    <w:p w14:paraId="76E31FA0"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b/>
          <w:bCs/>
          <w:kern w:val="2"/>
          <w:sz w:val="20"/>
          <w:szCs w:val="20"/>
          <w14:ligatures w14:val="standardContextual"/>
        </w:rPr>
        <w:t>1. Invest in the grid</w:t>
      </w:r>
      <w:r w:rsidRPr="004216BA">
        <w:rPr>
          <w:rFonts w:eastAsia="Aptos" w:cs="Arial"/>
          <w:kern w:val="2"/>
          <w:sz w:val="20"/>
          <w:szCs w:val="20"/>
          <w14:ligatures w14:val="standardContextual"/>
        </w:rPr>
        <w:br/>
        <w:t>Transmission and distribution networks must expand and modernize to keep pace with demand and unlock generation capacity.</w:t>
      </w:r>
    </w:p>
    <w:p w14:paraId="0241316B"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b/>
          <w:bCs/>
          <w:kern w:val="2"/>
          <w:sz w:val="20"/>
          <w:szCs w:val="20"/>
          <w14:ligatures w14:val="standardContextual"/>
        </w:rPr>
        <w:t>2. Build flexibility into the system</w:t>
      </w:r>
      <w:r w:rsidRPr="004216BA">
        <w:rPr>
          <w:rFonts w:eastAsia="Aptos" w:cs="Arial"/>
          <w:kern w:val="2"/>
          <w:sz w:val="20"/>
          <w:szCs w:val="20"/>
          <w14:ligatures w14:val="standardContextual"/>
        </w:rPr>
        <w:br/>
        <w:t>Energy storage, improved forecasting, and advanced control systems will be critical to managing variability.</w:t>
      </w:r>
    </w:p>
    <w:p w14:paraId="1A1185C1"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b/>
          <w:bCs/>
          <w:kern w:val="2"/>
          <w:sz w:val="20"/>
          <w:szCs w:val="20"/>
          <w14:ligatures w14:val="standardContextual"/>
        </w:rPr>
        <w:t>3. Scale decentralized energy</w:t>
      </w:r>
      <w:r w:rsidRPr="004216BA">
        <w:rPr>
          <w:rFonts w:eastAsia="Aptos" w:cs="Arial"/>
          <w:kern w:val="2"/>
          <w:sz w:val="20"/>
          <w:szCs w:val="20"/>
          <w14:ligatures w14:val="standardContextual"/>
        </w:rPr>
        <w:br/>
        <w:t>Mini-grids and off-grid solutions are already delivering results and remain essential for reaching remote communities.</w:t>
      </w:r>
    </w:p>
    <w:p w14:paraId="2D44F337"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b/>
          <w:bCs/>
          <w:kern w:val="2"/>
          <w:sz w:val="20"/>
          <w:szCs w:val="20"/>
          <w14:ligatures w14:val="standardContextual"/>
        </w:rPr>
        <w:t>4. Strengthen regional integration</w:t>
      </w:r>
      <w:r w:rsidRPr="004216BA">
        <w:rPr>
          <w:rFonts w:eastAsia="Aptos" w:cs="Arial"/>
          <w:kern w:val="2"/>
          <w:sz w:val="20"/>
          <w:szCs w:val="20"/>
          <w14:ligatures w14:val="standardContextual"/>
        </w:rPr>
        <w:br/>
        <w:t>Greater interconnectivity can reduce costs, improve reliability, and enhance overall energy security.</w:t>
      </w:r>
    </w:p>
    <w:p w14:paraId="49335501"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b/>
          <w:bCs/>
          <w:kern w:val="2"/>
          <w:sz w:val="20"/>
          <w:szCs w:val="20"/>
          <w14:ligatures w14:val="standardContextual"/>
        </w:rPr>
        <w:t>5. Develop local capability</w:t>
      </w:r>
      <w:r w:rsidRPr="004216BA">
        <w:rPr>
          <w:rFonts w:eastAsia="Aptos" w:cs="Arial"/>
          <w:kern w:val="2"/>
          <w:sz w:val="20"/>
          <w:szCs w:val="20"/>
          <w14:ligatures w14:val="standardContextual"/>
        </w:rPr>
        <w:br/>
        <w:t>Long-term success depends on skills, engineering, operations, and digital expertise that can sustain and grow the system.</w:t>
      </w:r>
    </w:p>
    <w:p w14:paraId="5150E0E7" w14:textId="77777777" w:rsidR="003863EF" w:rsidRPr="004216BA" w:rsidRDefault="003863EF" w:rsidP="003863EF">
      <w:pPr>
        <w:spacing w:after="160" w:line="278" w:lineRule="auto"/>
        <w:rPr>
          <w:rFonts w:eastAsia="Aptos" w:cs="Arial"/>
          <w:b/>
          <w:bCs/>
          <w:kern w:val="2"/>
          <w:sz w:val="20"/>
          <w:szCs w:val="20"/>
          <w14:ligatures w14:val="standardContextual"/>
        </w:rPr>
      </w:pPr>
      <w:r w:rsidRPr="004216BA">
        <w:rPr>
          <w:rFonts w:eastAsia="Aptos" w:cs="Arial"/>
          <w:b/>
          <w:bCs/>
          <w:kern w:val="2"/>
          <w:sz w:val="20"/>
          <w:szCs w:val="20"/>
          <w14:ligatures w14:val="standardContextual"/>
        </w:rPr>
        <w:t>Technology That Works in Practice</w:t>
      </w:r>
    </w:p>
    <w:p w14:paraId="26D0DA15"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Technology will play a defining role, but the focus needs to be practical. What matters is not deploying the newest solution, but deploying what works reliably in local conditions.</w:t>
      </w:r>
    </w:p>
    <w:p w14:paraId="354B1B24" w14:textId="087C3D1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This includes strengthening transmission corridors, digiti</w:t>
      </w:r>
      <w:r w:rsidR="006F6A94">
        <w:rPr>
          <w:rFonts w:eastAsia="Aptos" w:cs="Arial"/>
          <w:kern w:val="2"/>
          <w:sz w:val="20"/>
          <w:szCs w:val="20"/>
          <w14:ligatures w14:val="standardContextual"/>
        </w:rPr>
        <w:t>s</w:t>
      </w:r>
      <w:r w:rsidRPr="004216BA">
        <w:rPr>
          <w:rFonts w:eastAsia="Aptos" w:cs="Arial"/>
          <w:kern w:val="2"/>
          <w:sz w:val="20"/>
          <w:szCs w:val="20"/>
          <w14:ligatures w14:val="standardContextual"/>
        </w:rPr>
        <w:t>ing substations, and embedding intelligence into grid operations. It also means taking a long-term view: ensuring systems can be maintained, upgraded, and optimi</w:t>
      </w:r>
      <w:r w:rsidR="006F6A94">
        <w:rPr>
          <w:rFonts w:eastAsia="Aptos" w:cs="Arial"/>
          <w:kern w:val="2"/>
          <w:sz w:val="20"/>
          <w:szCs w:val="20"/>
          <w14:ligatures w14:val="standardContextual"/>
        </w:rPr>
        <w:t>s</w:t>
      </w:r>
      <w:r w:rsidRPr="004216BA">
        <w:rPr>
          <w:rFonts w:eastAsia="Aptos" w:cs="Arial"/>
          <w:kern w:val="2"/>
          <w:sz w:val="20"/>
          <w:szCs w:val="20"/>
          <w14:ligatures w14:val="standardContextual"/>
        </w:rPr>
        <w:t>ed over decades.</w:t>
      </w:r>
    </w:p>
    <w:p w14:paraId="1D5D00CF"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Reliability, adaptability, and lifecycle performance matter just as much as initial deployment.</w:t>
      </w:r>
    </w:p>
    <w:p w14:paraId="13F4B8AE" w14:textId="77777777" w:rsidR="003863EF" w:rsidRPr="004216BA" w:rsidRDefault="003863EF" w:rsidP="003863EF">
      <w:pPr>
        <w:spacing w:after="160" w:line="278" w:lineRule="auto"/>
        <w:rPr>
          <w:rFonts w:eastAsia="Aptos" w:cs="Arial"/>
          <w:b/>
          <w:bCs/>
          <w:kern w:val="2"/>
          <w:sz w:val="20"/>
          <w:szCs w:val="20"/>
          <w14:ligatures w14:val="standardContextual"/>
        </w:rPr>
      </w:pPr>
      <w:r w:rsidRPr="004216BA">
        <w:rPr>
          <w:rFonts w:eastAsia="Aptos" w:cs="Arial"/>
          <w:b/>
          <w:bCs/>
          <w:kern w:val="2"/>
          <w:sz w:val="20"/>
          <w:szCs w:val="20"/>
          <w14:ligatures w14:val="standardContextual"/>
        </w:rPr>
        <w:t>A Leadership Imperative</w:t>
      </w:r>
    </w:p>
    <w:p w14:paraId="2E5D9685"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At its core, Africa’s energy transition is a leadership challenge. It requires clear priorities, consistent policy direction, and strong collaboration between governments, utilities, investors, and technology partners.</w:t>
      </w:r>
    </w:p>
    <w:p w14:paraId="576445B4"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 xml:space="preserve">As </w:t>
      </w:r>
      <w:r w:rsidRPr="004216BA">
        <w:rPr>
          <w:rFonts w:eastAsia="Aptos" w:cs="Arial"/>
          <w:b/>
          <w:bCs/>
          <w:kern w:val="2"/>
          <w:sz w:val="20"/>
          <w:szCs w:val="20"/>
          <w14:ligatures w14:val="standardContextual"/>
        </w:rPr>
        <w:t>Mohamed Hosseiny, Managing Director for Africa</w:t>
      </w:r>
      <w:r w:rsidRPr="004216BA">
        <w:rPr>
          <w:rFonts w:eastAsia="Aptos" w:cs="Arial"/>
          <w:kern w:val="2"/>
          <w:sz w:val="20"/>
          <w:szCs w:val="20"/>
          <w14:ligatures w14:val="standardContextual"/>
        </w:rPr>
        <w:t>, notes:</w:t>
      </w:r>
    </w:p>
    <w:p w14:paraId="3CD2FEFB"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i/>
          <w:iCs/>
          <w:kern w:val="2"/>
          <w:sz w:val="20"/>
          <w:szCs w:val="20"/>
          <w14:ligatures w14:val="standardContextual"/>
        </w:rPr>
        <w:t>“Africa has the resources, the innovation, and the ambition to lead in building a sustainable energy future. The priority now is to translate this potential into reliable, interconnected systems that deliver real impact, powering industries, enabling communities, and supporting long-term economic growth. Achieving this will require strong partnerships, forward-looking policies, and sustained investment in modern grid infrastructure.”</w:t>
      </w:r>
    </w:p>
    <w:p w14:paraId="058CAEF1" w14:textId="77777777" w:rsidR="003863EF" w:rsidRPr="004216BA" w:rsidRDefault="003863EF" w:rsidP="003863EF">
      <w:pPr>
        <w:spacing w:after="160" w:line="278" w:lineRule="auto"/>
        <w:rPr>
          <w:rFonts w:eastAsia="Aptos" w:cs="Arial"/>
          <w:b/>
          <w:bCs/>
          <w:kern w:val="2"/>
          <w:sz w:val="20"/>
          <w:szCs w:val="20"/>
          <w14:ligatures w14:val="standardContextual"/>
        </w:rPr>
      </w:pPr>
      <w:r w:rsidRPr="004216BA">
        <w:rPr>
          <w:rFonts w:eastAsia="Aptos" w:cs="Arial"/>
          <w:b/>
          <w:bCs/>
          <w:kern w:val="2"/>
          <w:sz w:val="20"/>
          <w:szCs w:val="20"/>
          <w14:ligatures w14:val="standardContextual"/>
        </w:rPr>
        <w:t>From Momentum to Scale</w:t>
      </w:r>
    </w:p>
    <w:p w14:paraId="011FF92B"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The building blocks are there. What matters now is execution, faster delivery, closer collaboration, and sustained investment.</w:t>
      </w:r>
    </w:p>
    <w:p w14:paraId="42A6A124"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Africa has a real opportunity to do more than close its energy access gap. It can build a power system that is more resilient, more flexible, and better suited to future demand.</w:t>
      </w:r>
    </w:p>
    <w:p w14:paraId="0D80B69A" w14:textId="77777777" w:rsidR="003863EF" w:rsidRPr="004216BA" w:rsidRDefault="003863EF" w:rsidP="003863EF">
      <w:pPr>
        <w:spacing w:after="160" w:line="278" w:lineRule="auto"/>
        <w:rPr>
          <w:rFonts w:eastAsia="Aptos" w:cs="Arial"/>
          <w:kern w:val="2"/>
          <w:sz w:val="20"/>
          <w:szCs w:val="20"/>
          <w14:ligatures w14:val="standardContextual"/>
        </w:rPr>
      </w:pPr>
      <w:r w:rsidRPr="004216BA">
        <w:rPr>
          <w:rFonts w:eastAsia="Aptos" w:cs="Arial"/>
          <w:kern w:val="2"/>
          <w:sz w:val="20"/>
          <w:szCs w:val="20"/>
          <w14:ligatures w14:val="standardContextual"/>
        </w:rPr>
        <w:t>With the right focus, the continent can move beyond constraint, and lead in delivering energy systems that are practical, scalable, and built to last.</w:t>
      </w:r>
    </w:p>
    <w:p w14:paraId="2E31F0F3" w14:textId="380361C8" w:rsidR="0073464B" w:rsidRDefault="0073464B">
      <w:pPr>
        <w:rPr>
          <w:sz w:val="18"/>
          <w:szCs w:val="18"/>
        </w:rPr>
      </w:pPr>
      <w:hyperlink r:id="rId10" w:history="1"/>
      <w:hyperlink r:id="rId11" w:history="1"/>
      <w:hyperlink r:id="rId12" w:history="1"/>
      <w:hyperlink r:id="rId13" w:history="1"/>
      <w:hyperlink r:id="rId14" w:history="1"/>
    </w:p>
    <w:sectPr w:rsidR="0073464B" w:rsidSect="00425F5D">
      <w:headerReference w:type="default" r:id="rId15"/>
      <w:footerReference w:type="even" r:id="rId16"/>
      <w:footerReference w:type="default" r:id="rId17"/>
      <w:headerReference w:type="first" r:id="rId18"/>
      <w:footerReference w:type="first" r:id="rId19"/>
      <w:pgSz w:w="11901" w:h="16834"/>
      <w:pgMar w:top="822" w:right="822" w:bottom="1170" w:left="822" w:header="454" w:footer="61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3BFDF" w14:textId="77777777" w:rsidR="00634D13" w:rsidRPr="004216BA" w:rsidRDefault="00634D13">
      <w:pPr>
        <w:spacing w:line="240" w:lineRule="auto"/>
      </w:pPr>
      <w:r w:rsidRPr="004216BA">
        <w:separator/>
      </w:r>
    </w:p>
  </w:endnote>
  <w:endnote w:type="continuationSeparator" w:id="0">
    <w:p w14:paraId="10098C74" w14:textId="77777777" w:rsidR="00634D13" w:rsidRPr="004216BA" w:rsidRDefault="00634D13">
      <w:pPr>
        <w:spacing w:line="240" w:lineRule="auto"/>
      </w:pPr>
      <w:r w:rsidRPr="004216B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tachi Sans">
    <w:altName w:val="Calibri"/>
    <w:panose1 w:val="00000000000000000000"/>
    <w:charset w:val="00"/>
    <w:family w:val="modern"/>
    <w:notTrueType/>
    <w:pitch w:val="variable"/>
    <w:sig w:usb0="A00000EF" w:usb1="4000A07B" w:usb2="00000000" w:usb3="00000000" w:csb0="00000093" w:csb1="00000000"/>
  </w:font>
  <w:font w:name="Aptos">
    <w:charset w:val="00"/>
    <w:family w:val="swiss"/>
    <w:pitch w:val="variable"/>
    <w:sig w:usb0="20000287" w:usb1="00000003" w:usb2="00000000" w:usb3="00000000" w:csb0="0000019F" w:csb1="00000000"/>
    <w:embedRegular r:id="rId1" w:fontKey="{0347B90E-5C3D-42F8-BF99-040A34A5A221}"/>
    <w:embedBold r:id="rId2" w:fontKey="{AC383C59-5A73-4C28-9D7A-92536C5766B6}"/>
    <w:embedItalic r:id="rId3" w:fontKey="{0825F9D0-3F94-4081-B505-0548F92FB9D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7CD415FD-1390-4CDE-A03A-C2CE6C99BA1F}"/>
  </w:font>
  <w:font w:name="Cambria">
    <w:panose1 w:val="02040503050406030204"/>
    <w:charset w:val="00"/>
    <w:family w:val="roman"/>
    <w:pitch w:val="variable"/>
    <w:sig w:usb0="E00006FF" w:usb1="420024FF" w:usb2="02000000" w:usb3="00000000" w:csb0="0000019F" w:csb1="00000000"/>
    <w:embedRegular r:id="rId5" w:fontKey="{1F2BC3F8-4304-4A2C-9C57-DD0434286D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DDAF" w14:textId="77777777" w:rsidR="00FC1DD8" w:rsidRPr="004216BA" w:rsidRDefault="004352E6">
    <w:pPr>
      <w:pBdr>
        <w:top w:val="nil"/>
        <w:left w:val="nil"/>
        <w:bottom w:val="nil"/>
        <w:right w:val="nil"/>
        <w:between w:val="nil"/>
      </w:pBdr>
      <w:tabs>
        <w:tab w:val="center" w:pos="4513"/>
        <w:tab w:val="right" w:pos="9026"/>
      </w:tabs>
      <w:spacing w:line="259" w:lineRule="auto"/>
      <w:rPr>
        <w:b/>
        <w:color w:val="000000"/>
        <w:sz w:val="18"/>
        <w:szCs w:val="18"/>
      </w:rPr>
    </w:pPr>
    <w:r w:rsidRPr="004216BA">
      <w:rPr>
        <w:noProof/>
      </w:rPr>
      <mc:AlternateContent>
        <mc:Choice Requires="wps">
          <w:drawing>
            <wp:anchor distT="0" distB="0" distL="0" distR="0" simplePos="0" relativeHeight="251658242" behindDoc="0" locked="0" layoutInCell="1" hidden="0" allowOverlap="1" wp14:anchorId="7CF59F80" wp14:editId="75F4FBAA">
              <wp:simplePos x="0" y="0"/>
              <wp:positionH relativeFrom="column">
                <wp:posOffset>1267460</wp:posOffset>
              </wp:positionH>
              <wp:positionV relativeFrom="paragraph">
                <wp:posOffset>-4761</wp:posOffset>
              </wp:positionV>
              <wp:extent cx="2934335" cy="362585"/>
              <wp:effectExtent l="0" t="0" r="0" b="0"/>
              <wp:wrapNone/>
              <wp:docPr id="3" name="Rectangle 3" descr="Confidential - Not for Public Consumption or Distribution"/>
              <wp:cNvGraphicFramePr/>
              <a:graphic xmlns:a="http://schemas.openxmlformats.org/drawingml/2006/main">
                <a:graphicData uri="http://schemas.microsoft.com/office/word/2010/wordprocessingShape">
                  <wps:wsp>
                    <wps:cNvSpPr/>
                    <wps:spPr>
                      <a:xfrm>
                        <a:off x="3883595" y="3603470"/>
                        <a:ext cx="2924810" cy="353060"/>
                      </a:xfrm>
                      <a:prstGeom prst="rect">
                        <a:avLst/>
                      </a:prstGeom>
                      <a:noFill/>
                      <a:ln>
                        <a:noFill/>
                      </a:ln>
                    </wps:spPr>
                    <wps:txbx>
                      <w:txbxContent>
                        <w:p w14:paraId="64726D47" w14:textId="77777777" w:rsidR="00FC1DD8" w:rsidRPr="004216BA" w:rsidRDefault="004352E6">
                          <w:pPr>
                            <w:spacing w:line="251" w:lineRule="auto"/>
                            <w:textDirection w:val="btLr"/>
                          </w:pPr>
                          <w:r w:rsidRPr="004216BA">
                            <w:rPr>
                              <w:rFonts w:ascii="Calibri" w:eastAsia="Calibri" w:hAnsi="Calibri" w:cs="Calibri"/>
                              <w:color w:val="000000"/>
                              <w:sz w:val="20"/>
                            </w:rPr>
                            <w:t>Confidential - Not for Public Consumption or Distribution</w:t>
                          </w:r>
                        </w:p>
                      </w:txbxContent>
                    </wps:txbx>
                    <wps:bodyPr spcFirstLastPara="1" wrap="square" lIns="0" tIns="0" rIns="0" bIns="190500" anchor="b" anchorCtr="0">
                      <a:noAutofit/>
                    </wps:bodyPr>
                  </wps:wsp>
                </a:graphicData>
              </a:graphic>
            </wp:anchor>
          </w:drawing>
        </mc:Choice>
        <mc:Fallback>
          <w:pict>
            <v:rect w14:anchorId="7CF59F80" id="Rectangle 3" o:spid="_x0000_s1026" alt="Confidential - Not for Public Consumption or Distribution" style="position:absolute;margin-left:99.8pt;margin-top:-.35pt;width:231.05pt;height:28.55pt;z-index:25165824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" filled="f" stroked="f">
              <v:textbox inset="0,0,0,15pt">
                <w:txbxContent>
                  <w:p w14:paraId="64726D47" w14:textId="77777777" w:rsidR="00FC1DD8" w:rsidRPr="004216BA" w:rsidRDefault="004352E6">
                    <w:pPr>
                      <w:spacing w:line="251" w:lineRule="auto"/>
                      <w:textDirection w:val="btLr"/>
                    </w:pPr>
                    <w:r w:rsidRPr="004216BA">
                      <w:rPr>
                        <w:rFonts w:ascii="Calibri" w:eastAsia="Calibri" w:hAnsi="Calibri" w:cs="Calibri"/>
                        <w:color w:val="000000"/>
                        <w:sz w:val="20"/>
                      </w:rPr>
                      <w:t>Confidential - Not for Public Consumption or Distribution</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2D45F" w14:textId="2A5A12AD" w:rsidR="00FC1DD8" w:rsidRPr="004216BA" w:rsidRDefault="00FC1DD8">
    <w:pPr>
      <w:pBdr>
        <w:top w:val="nil"/>
        <w:left w:val="nil"/>
        <w:bottom w:val="nil"/>
        <w:right w:val="nil"/>
        <w:between w:val="nil"/>
      </w:pBdr>
      <w:tabs>
        <w:tab w:val="center" w:pos="4513"/>
        <w:tab w:val="right" w:pos="9026"/>
        <w:tab w:val="left" w:pos="582"/>
        <w:tab w:val="right" w:pos="10257"/>
      </w:tabs>
      <w:spacing w:line="259" w:lineRule="auto"/>
      <w:rPr>
        <w:b/>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317DD" w14:textId="686AD935" w:rsidR="00FC1DD8" w:rsidRPr="004216BA" w:rsidRDefault="00FC1DD8" w:rsidP="001B6915">
    <w:pPr>
      <w:widowControl w:val="0"/>
      <w:tabs>
        <w:tab w:val="left" w:pos="1306"/>
      </w:tabs>
      <w:ind w:right="-20"/>
      <w:jc w:val="both"/>
      <w:rPr>
        <w:b/>
        <w:color w:val="000000" w:themeColor="text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02639" w14:textId="77777777" w:rsidR="00634D13" w:rsidRPr="004216BA" w:rsidRDefault="00634D13">
      <w:pPr>
        <w:spacing w:line="240" w:lineRule="auto"/>
      </w:pPr>
      <w:r w:rsidRPr="004216BA">
        <w:separator/>
      </w:r>
    </w:p>
  </w:footnote>
  <w:footnote w:type="continuationSeparator" w:id="0">
    <w:p w14:paraId="232C6D92" w14:textId="77777777" w:rsidR="00634D13" w:rsidRPr="004216BA" w:rsidRDefault="00634D13">
      <w:pPr>
        <w:spacing w:line="240" w:lineRule="auto"/>
      </w:pPr>
      <w:r w:rsidRPr="004216B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15BB5" w14:textId="77777777" w:rsidR="00FC1DD8" w:rsidRPr="004216BA" w:rsidRDefault="00FC1DD8">
    <w:pPr>
      <w:widowControl w:val="0"/>
      <w:pBdr>
        <w:top w:val="nil"/>
        <w:left w:val="nil"/>
        <w:bottom w:val="nil"/>
        <w:right w:val="nil"/>
        <w:between w:val="nil"/>
      </w:pBdr>
      <w:spacing w:line="276" w:lineRule="auto"/>
      <w:rPr>
        <w:color w:val="000000"/>
        <w:sz w:val="18"/>
        <w:szCs w:val="18"/>
      </w:rPr>
    </w:pPr>
  </w:p>
  <w:tbl>
    <w:tblPr>
      <w:tblStyle w:val="2"/>
      <w:tblW w:w="10245" w:type="dxa"/>
      <w:tblInd w:w="0" w:type="dxa"/>
      <w:tblLayout w:type="fixed"/>
      <w:tblLook w:val="0600" w:firstRow="0" w:lastRow="0" w:firstColumn="0" w:lastColumn="0" w:noHBand="1" w:noVBand="1"/>
    </w:tblPr>
    <w:tblGrid>
      <w:gridCol w:w="3415"/>
      <w:gridCol w:w="3415"/>
      <w:gridCol w:w="3415"/>
    </w:tblGrid>
    <w:tr w:rsidR="00FC1DD8" w:rsidRPr="004216BA" w14:paraId="00CFD9B0" w14:textId="77777777">
      <w:trPr>
        <w:trHeight w:val="300"/>
      </w:trPr>
      <w:tc>
        <w:tcPr>
          <w:tcW w:w="3415" w:type="dxa"/>
        </w:tcPr>
        <w:p w14:paraId="48982165" w14:textId="77777777" w:rsidR="00FC1DD8" w:rsidRPr="004216BA" w:rsidRDefault="00FC1DD8">
          <w:pPr>
            <w:pBdr>
              <w:top w:val="nil"/>
              <w:left w:val="nil"/>
              <w:bottom w:val="nil"/>
              <w:right w:val="nil"/>
              <w:between w:val="nil"/>
            </w:pBdr>
            <w:tabs>
              <w:tab w:val="center" w:pos="4513"/>
              <w:tab w:val="right" w:pos="9026"/>
            </w:tabs>
            <w:spacing w:line="240" w:lineRule="auto"/>
            <w:ind w:left="-115"/>
            <w:rPr>
              <w:color w:val="000000"/>
              <w:sz w:val="16"/>
              <w:szCs w:val="16"/>
            </w:rPr>
          </w:pPr>
        </w:p>
      </w:tc>
      <w:tc>
        <w:tcPr>
          <w:tcW w:w="3415" w:type="dxa"/>
        </w:tcPr>
        <w:p w14:paraId="0F45F616" w14:textId="77777777" w:rsidR="00FC1DD8" w:rsidRPr="004216BA" w:rsidRDefault="00FC1DD8">
          <w:pPr>
            <w:pBdr>
              <w:top w:val="nil"/>
              <w:left w:val="nil"/>
              <w:bottom w:val="nil"/>
              <w:right w:val="nil"/>
              <w:between w:val="nil"/>
            </w:pBdr>
            <w:tabs>
              <w:tab w:val="center" w:pos="4513"/>
              <w:tab w:val="right" w:pos="9026"/>
            </w:tabs>
            <w:spacing w:line="240" w:lineRule="auto"/>
            <w:jc w:val="center"/>
            <w:rPr>
              <w:color w:val="000000"/>
              <w:sz w:val="16"/>
              <w:szCs w:val="16"/>
            </w:rPr>
          </w:pPr>
        </w:p>
      </w:tc>
      <w:tc>
        <w:tcPr>
          <w:tcW w:w="3415" w:type="dxa"/>
        </w:tcPr>
        <w:p w14:paraId="09FE6E08" w14:textId="77777777" w:rsidR="00FC1DD8" w:rsidRPr="004216BA" w:rsidRDefault="00FC1DD8">
          <w:pPr>
            <w:pBdr>
              <w:top w:val="nil"/>
              <w:left w:val="nil"/>
              <w:bottom w:val="nil"/>
              <w:right w:val="nil"/>
              <w:between w:val="nil"/>
            </w:pBdr>
            <w:tabs>
              <w:tab w:val="center" w:pos="4513"/>
              <w:tab w:val="right" w:pos="9026"/>
            </w:tabs>
            <w:spacing w:line="240" w:lineRule="auto"/>
            <w:ind w:right="-115"/>
            <w:jc w:val="right"/>
            <w:rPr>
              <w:color w:val="000000"/>
              <w:sz w:val="16"/>
              <w:szCs w:val="16"/>
            </w:rPr>
          </w:pPr>
        </w:p>
      </w:tc>
    </w:tr>
  </w:tbl>
  <w:p w14:paraId="40DEF1EE" w14:textId="77777777" w:rsidR="00FC1DD8" w:rsidRPr="004216BA" w:rsidRDefault="00FC1DD8">
    <w:pPr>
      <w:pBdr>
        <w:top w:val="nil"/>
        <w:left w:val="nil"/>
        <w:bottom w:val="nil"/>
        <w:right w:val="nil"/>
        <w:between w:val="nil"/>
      </w:pBdr>
      <w:tabs>
        <w:tab w:val="center" w:pos="4513"/>
        <w:tab w:val="right" w:pos="9026"/>
      </w:tabs>
      <w:spacing w:line="240" w:lineRule="auto"/>
      <w:rPr>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EC58A" w14:textId="77777777" w:rsidR="00FC1DD8" w:rsidRPr="004216BA" w:rsidRDefault="00FC1DD8">
    <w:pPr>
      <w:widowControl w:val="0"/>
      <w:pBdr>
        <w:top w:val="nil"/>
        <w:left w:val="nil"/>
        <w:bottom w:val="nil"/>
        <w:right w:val="nil"/>
        <w:between w:val="nil"/>
      </w:pBdr>
      <w:spacing w:line="276" w:lineRule="auto"/>
      <w:rPr>
        <w:color w:val="000000"/>
        <w:sz w:val="16"/>
        <w:szCs w:val="16"/>
      </w:rPr>
    </w:pPr>
  </w:p>
  <w:tbl>
    <w:tblPr>
      <w:tblStyle w:val="1"/>
      <w:tblpPr w:leftFromText="181" w:rightFromText="5670" w:bottomFromText="397" w:vertAnchor="page" w:horzAnchor="page" w:tblpY="710"/>
      <w:tblW w:w="566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669"/>
    </w:tblGrid>
    <w:tr w:rsidR="00FC1DD8" w:rsidRPr="004216BA" w14:paraId="480C616A" w14:textId="77777777">
      <w:trPr>
        <w:trHeight w:val="850"/>
      </w:trPr>
      <w:tc>
        <w:tcPr>
          <w:tcW w:w="5669" w:type="dxa"/>
        </w:tcPr>
        <w:p w14:paraId="151D23EA" w14:textId="77777777" w:rsidR="00FC1DD8" w:rsidRPr="004216BA" w:rsidRDefault="004352E6" w:rsidP="0073464B">
          <w:pPr>
            <w:pBdr>
              <w:top w:val="nil"/>
              <w:left w:val="nil"/>
              <w:bottom w:val="nil"/>
              <w:right w:val="nil"/>
              <w:between w:val="nil"/>
            </w:pBdr>
            <w:tabs>
              <w:tab w:val="center" w:pos="4513"/>
              <w:tab w:val="right" w:pos="9026"/>
            </w:tabs>
            <w:spacing w:line="245" w:lineRule="auto"/>
            <w:ind w:left="810"/>
            <w:rPr>
              <w:color w:val="000000"/>
              <w:sz w:val="32"/>
              <w:szCs w:val="32"/>
            </w:rPr>
          </w:pPr>
          <w:r w:rsidRPr="004216BA">
            <w:rPr>
              <w:color w:val="000000"/>
              <w:sz w:val="32"/>
              <w:szCs w:val="32"/>
            </w:rPr>
            <w:t>News Release</w:t>
          </w:r>
        </w:p>
        <w:p w14:paraId="19F78740" w14:textId="77777777" w:rsidR="00FC1DD8" w:rsidRPr="004216BA" w:rsidRDefault="004352E6" w:rsidP="0073464B">
          <w:pPr>
            <w:pBdr>
              <w:top w:val="nil"/>
              <w:left w:val="nil"/>
              <w:bottom w:val="nil"/>
              <w:right w:val="nil"/>
              <w:between w:val="nil"/>
            </w:pBdr>
            <w:tabs>
              <w:tab w:val="center" w:pos="4513"/>
              <w:tab w:val="right" w:pos="9026"/>
            </w:tabs>
            <w:spacing w:line="245" w:lineRule="auto"/>
            <w:ind w:left="810"/>
            <w:rPr>
              <w:color w:val="000000"/>
              <w:sz w:val="32"/>
              <w:szCs w:val="32"/>
            </w:rPr>
          </w:pPr>
          <w:r w:rsidRPr="004216BA">
            <w:rPr>
              <w:color w:val="FA000F"/>
              <w:sz w:val="32"/>
              <w:szCs w:val="32"/>
            </w:rPr>
            <w:t>For Immediate Release</w:t>
          </w:r>
        </w:p>
      </w:tc>
    </w:tr>
  </w:tbl>
  <w:p w14:paraId="1E01FE12" w14:textId="77777777" w:rsidR="00FC1DD8" w:rsidRPr="004216BA" w:rsidRDefault="004352E6">
    <w:pPr>
      <w:pBdr>
        <w:top w:val="nil"/>
        <w:left w:val="nil"/>
        <w:bottom w:val="nil"/>
        <w:right w:val="nil"/>
        <w:between w:val="nil"/>
      </w:pBdr>
      <w:tabs>
        <w:tab w:val="center" w:pos="4513"/>
        <w:tab w:val="right" w:pos="9026"/>
      </w:tabs>
      <w:spacing w:line="240" w:lineRule="auto"/>
      <w:rPr>
        <w:color w:val="000000"/>
        <w:sz w:val="16"/>
        <w:szCs w:val="16"/>
      </w:rPr>
    </w:pPr>
    <w:r w:rsidRPr="004216BA">
      <w:rPr>
        <w:color w:val="000000"/>
        <w:sz w:val="16"/>
        <w:szCs w:val="16"/>
      </w:rPr>
      <w:t xml:space="preserve"> </w:t>
    </w:r>
    <w:r w:rsidRPr="004216BA">
      <w:rPr>
        <w:noProof/>
        <w:color w:val="000000"/>
        <w:sz w:val="16"/>
        <w:szCs w:val="16"/>
      </w:rPr>
      <w:drawing>
        <wp:anchor distT="0" distB="0" distL="114300" distR="114300" simplePos="0" relativeHeight="251658240" behindDoc="0" locked="0" layoutInCell="1" hidden="0" allowOverlap="1" wp14:anchorId="5ECF1EF4" wp14:editId="4AE35C9E">
          <wp:simplePos x="0" y="0"/>
          <wp:positionH relativeFrom="page">
            <wp:posOffset>4781550</wp:posOffset>
          </wp:positionH>
          <wp:positionV relativeFrom="page">
            <wp:posOffset>431800</wp:posOffset>
          </wp:positionV>
          <wp:extent cx="2336400" cy="518400"/>
          <wp:effectExtent l="0" t="0" r="0" b="0"/>
          <wp:wrapNone/>
          <wp:docPr id="6571736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336400" cy="518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A34CB"/>
    <w:multiLevelType w:val="hybridMultilevel"/>
    <w:tmpl w:val="C2D605AA"/>
    <w:lvl w:ilvl="0" w:tplc="FF9CB866">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 w15:restartNumberingAfterBreak="0">
    <w:nsid w:val="0F0E2E8F"/>
    <w:multiLevelType w:val="multilevel"/>
    <w:tmpl w:val="A590F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DA72D6"/>
    <w:multiLevelType w:val="multilevel"/>
    <w:tmpl w:val="A7EA2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3E4CF6"/>
    <w:multiLevelType w:val="multilevel"/>
    <w:tmpl w:val="7BC00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9A26D2"/>
    <w:multiLevelType w:val="multilevel"/>
    <w:tmpl w:val="0CFEE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141FCB"/>
    <w:multiLevelType w:val="multilevel"/>
    <w:tmpl w:val="C3669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51219838">
    <w:abstractNumId w:val="2"/>
  </w:num>
  <w:num w:numId="2" w16cid:durableId="1199860014">
    <w:abstractNumId w:val="4"/>
  </w:num>
  <w:num w:numId="3" w16cid:durableId="370763700">
    <w:abstractNumId w:val="5"/>
  </w:num>
  <w:num w:numId="4" w16cid:durableId="228079555">
    <w:abstractNumId w:val="3"/>
  </w:num>
  <w:num w:numId="5" w16cid:durableId="1766802817">
    <w:abstractNumId w:val="0"/>
  </w:num>
  <w:num w:numId="6" w16cid:durableId="97256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DD8"/>
    <w:rsid w:val="000060B4"/>
    <w:rsid w:val="000222F8"/>
    <w:rsid w:val="00134169"/>
    <w:rsid w:val="001434C0"/>
    <w:rsid w:val="00154A42"/>
    <w:rsid w:val="00161A7F"/>
    <w:rsid w:val="00165F02"/>
    <w:rsid w:val="00197FB7"/>
    <w:rsid w:val="001B6915"/>
    <w:rsid w:val="001D2A6D"/>
    <w:rsid w:val="001D5C0A"/>
    <w:rsid w:val="001E0C1F"/>
    <w:rsid w:val="00204654"/>
    <w:rsid w:val="00244A3F"/>
    <w:rsid w:val="00256033"/>
    <w:rsid w:val="002B2685"/>
    <w:rsid w:val="002D7D57"/>
    <w:rsid w:val="002E24F9"/>
    <w:rsid w:val="002E2F9C"/>
    <w:rsid w:val="002F52AF"/>
    <w:rsid w:val="00327F71"/>
    <w:rsid w:val="00337DF6"/>
    <w:rsid w:val="00340B95"/>
    <w:rsid w:val="003863EF"/>
    <w:rsid w:val="00391F09"/>
    <w:rsid w:val="003A7A3C"/>
    <w:rsid w:val="003B2475"/>
    <w:rsid w:val="003D5832"/>
    <w:rsid w:val="004216BA"/>
    <w:rsid w:val="00425F5D"/>
    <w:rsid w:val="004352E6"/>
    <w:rsid w:val="0048342B"/>
    <w:rsid w:val="004B7221"/>
    <w:rsid w:val="004E4561"/>
    <w:rsid w:val="005058AE"/>
    <w:rsid w:val="005178E4"/>
    <w:rsid w:val="005772CD"/>
    <w:rsid w:val="0058298C"/>
    <w:rsid w:val="00583F45"/>
    <w:rsid w:val="00591E3B"/>
    <w:rsid w:val="005B2682"/>
    <w:rsid w:val="005B4969"/>
    <w:rsid w:val="005B7358"/>
    <w:rsid w:val="005C7308"/>
    <w:rsid w:val="00603743"/>
    <w:rsid w:val="00633C62"/>
    <w:rsid w:val="00634D13"/>
    <w:rsid w:val="006361B7"/>
    <w:rsid w:val="006363E9"/>
    <w:rsid w:val="006A379F"/>
    <w:rsid w:val="006A5694"/>
    <w:rsid w:val="006C7935"/>
    <w:rsid w:val="006D22AA"/>
    <w:rsid w:val="006F6A94"/>
    <w:rsid w:val="00721E7F"/>
    <w:rsid w:val="00722360"/>
    <w:rsid w:val="007231B9"/>
    <w:rsid w:val="0073464B"/>
    <w:rsid w:val="00740811"/>
    <w:rsid w:val="00796D5F"/>
    <w:rsid w:val="007A792F"/>
    <w:rsid w:val="007C5187"/>
    <w:rsid w:val="00865DB4"/>
    <w:rsid w:val="008A4240"/>
    <w:rsid w:val="008F70AE"/>
    <w:rsid w:val="009219D5"/>
    <w:rsid w:val="009616A1"/>
    <w:rsid w:val="009813E3"/>
    <w:rsid w:val="00991D7A"/>
    <w:rsid w:val="00997A87"/>
    <w:rsid w:val="009A437E"/>
    <w:rsid w:val="00A04A69"/>
    <w:rsid w:val="00A26CFC"/>
    <w:rsid w:val="00A93185"/>
    <w:rsid w:val="00A949E4"/>
    <w:rsid w:val="00AC57F0"/>
    <w:rsid w:val="00AD70CA"/>
    <w:rsid w:val="00B012EF"/>
    <w:rsid w:val="00B72416"/>
    <w:rsid w:val="00B93A9F"/>
    <w:rsid w:val="00C27FA8"/>
    <w:rsid w:val="00C71AEF"/>
    <w:rsid w:val="00CC0050"/>
    <w:rsid w:val="00CE1917"/>
    <w:rsid w:val="00D32033"/>
    <w:rsid w:val="00D807A0"/>
    <w:rsid w:val="00DB4F18"/>
    <w:rsid w:val="00DD2A51"/>
    <w:rsid w:val="00E005B6"/>
    <w:rsid w:val="00E247ED"/>
    <w:rsid w:val="00E2510B"/>
    <w:rsid w:val="00E46296"/>
    <w:rsid w:val="00E75CA6"/>
    <w:rsid w:val="00E91104"/>
    <w:rsid w:val="00E972F1"/>
    <w:rsid w:val="00EB2163"/>
    <w:rsid w:val="00EB7507"/>
    <w:rsid w:val="00ED55F9"/>
    <w:rsid w:val="00F2129F"/>
    <w:rsid w:val="00F55473"/>
    <w:rsid w:val="00F6397F"/>
    <w:rsid w:val="00F90785"/>
    <w:rsid w:val="00FC1DD8"/>
    <w:rsid w:val="00FC7F71"/>
    <w:rsid w:val="076B08B9"/>
    <w:rsid w:val="0C168C29"/>
    <w:rsid w:val="2DFBFAB7"/>
    <w:rsid w:val="66DE4758"/>
    <w:rsid w:val="6C94B987"/>
    <w:rsid w:val="70C17C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CA6147"/>
  <w15:docId w15:val="{4961DD90-3592-47CC-BB24-61CDF0DF5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itachi Sans" w:eastAsia="Hitachi Sans" w:hAnsi="Hitachi Sans" w:cs="Hitachi Sans"/>
        <w:sz w:val="22"/>
        <w:szCs w:val="22"/>
        <w:lang w:val="en" w:eastAsia="en-US" w:bidi="ar-SA"/>
      </w:rPr>
    </w:rPrDefault>
    <w:pPrDefault>
      <w:pPr>
        <w:spacing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after="240"/>
      <w:outlineLvl w:val="0"/>
    </w:pPr>
    <w:rPr>
      <w:b/>
      <w:color w:val="000000"/>
    </w:rPr>
  </w:style>
  <w:style w:type="paragraph" w:styleId="Heading2">
    <w:name w:val="heading 2"/>
    <w:basedOn w:val="Normal"/>
    <w:next w:val="Normal"/>
    <w:uiPriority w:val="9"/>
    <w:semiHidden/>
    <w:unhideWhenUsed/>
    <w:qFormat/>
    <w:pPr>
      <w:keepNext/>
      <w:keepLines/>
      <w:spacing w:after="120"/>
      <w:outlineLvl w:val="1"/>
    </w:pPr>
    <w:rPr>
      <w:b/>
      <w:color w:val="000000"/>
    </w:rPr>
  </w:style>
  <w:style w:type="paragraph" w:styleId="Heading3">
    <w:name w:val="heading 3"/>
    <w:basedOn w:val="Normal"/>
    <w:next w:val="Normal"/>
    <w:uiPriority w:val="9"/>
    <w:semiHidden/>
    <w:unhideWhenUsed/>
    <w:qFormat/>
    <w:pPr>
      <w:keepNext/>
      <w:keepLines/>
      <w:spacing w:before="160" w:after="80"/>
      <w:outlineLvl w:val="2"/>
    </w:pPr>
    <w:rPr>
      <w:color w:val="BB000B"/>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BB000B"/>
    </w:rPr>
  </w:style>
  <w:style w:type="paragraph" w:styleId="Heading5">
    <w:name w:val="heading 5"/>
    <w:basedOn w:val="Normal"/>
    <w:next w:val="Normal"/>
    <w:uiPriority w:val="9"/>
    <w:semiHidden/>
    <w:unhideWhenUsed/>
    <w:qFormat/>
    <w:pPr>
      <w:keepNext/>
      <w:keepLines/>
      <w:spacing w:before="80" w:after="40"/>
      <w:outlineLvl w:val="4"/>
    </w:pPr>
    <w:rPr>
      <w:color w:val="BB000B"/>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480" w:after="160" w:line="240" w:lineRule="auto"/>
    </w:pPr>
    <w:rPr>
      <w:b/>
      <w:sz w:val="28"/>
      <w:szCs w:val="28"/>
    </w:rPr>
  </w:style>
  <w:style w:type="paragraph" w:styleId="Subtitle">
    <w:name w:val="Subtitle"/>
    <w:basedOn w:val="Normal"/>
    <w:next w:val="Normal"/>
    <w:uiPriority w:val="11"/>
    <w:qFormat/>
    <w:pPr>
      <w:spacing w:after="160" w:line="288" w:lineRule="auto"/>
    </w:pPr>
    <w:rPr>
      <w:color w:val="0C0C0C"/>
    </w:rPr>
  </w:style>
  <w:style w:type="table" w:customStyle="1" w:styleId="4">
    <w:name w:val="4"/>
    <w:basedOn w:val="TableNormal0"/>
    <w:tblPr>
      <w:tblStyleRowBandSize w:val="1"/>
      <w:tblStyleColBandSize w:val="1"/>
    </w:tblPr>
  </w:style>
  <w:style w:type="table" w:customStyle="1" w:styleId="3">
    <w:name w:val="3"/>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2">
    <w:name w:val="2"/>
    <w:basedOn w:val="TableNormal0"/>
    <w:tblPr>
      <w:tblStyleRowBandSize w:val="1"/>
      <w:tblStyleColBandSize w:val="1"/>
      <w:tblCellMar>
        <w:top w:w="0" w:type="dxa"/>
        <w:left w:w="115" w:type="dxa"/>
        <w:bottom w:w="0" w:type="dxa"/>
        <w:right w:w="115" w:type="dxa"/>
      </w:tblCellMar>
    </w:tblPr>
  </w:style>
  <w:style w:type="table" w:customStyle="1" w:styleId="1">
    <w:name w:val="1"/>
    <w:basedOn w:val="TableNormal0"/>
    <w:pPr>
      <w:spacing w:line="240" w:lineRule="auto"/>
    </w:pPr>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008A424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8A4240"/>
  </w:style>
  <w:style w:type="character" w:customStyle="1" w:styleId="eop">
    <w:name w:val="eop"/>
    <w:basedOn w:val="DefaultParagraphFont"/>
    <w:rsid w:val="008A4240"/>
  </w:style>
  <w:style w:type="character" w:styleId="Hyperlink">
    <w:name w:val="Hyperlink"/>
    <w:basedOn w:val="DefaultParagraphFont"/>
    <w:uiPriority w:val="99"/>
    <w:unhideWhenUsed/>
    <w:rsid w:val="0073464B"/>
    <w:rPr>
      <w:color w:val="0000FF" w:themeColor="hyperlink"/>
      <w:u w:val="single"/>
    </w:rPr>
  </w:style>
  <w:style w:type="character" w:styleId="UnresolvedMention">
    <w:name w:val="Unresolved Mention"/>
    <w:basedOn w:val="DefaultParagraphFont"/>
    <w:uiPriority w:val="99"/>
    <w:semiHidden/>
    <w:unhideWhenUsed/>
    <w:rsid w:val="0073464B"/>
    <w:rPr>
      <w:color w:val="605E5C"/>
      <w:shd w:val="clear" w:color="auto" w:fill="E1DFDD"/>
    </w:rPr>
  </w:style>
  <w:style w:type="paragraph" w:styleId="Header">
    <w:name w:val="header"/>
    <w:basedOn w:val="Normal"/>
    <w:link w:val="HeaderChar"/>
    <w:uiPriority w:val="99"/>
    <w:unhideWhenUsed/>
    <w:rsid w:val="0073464B"/>
    <w:pPr>
      <w:tabs>
        <w:tab w:val="center" w:pos="4680"/>
        <w:tab w:val="right" w:pos="9360"/>
      </w:tabs>
      <w:spacing w:line="240" w:lineRule="auto"/>
    </w:pPr>
  </w:style>
  <w:style w:type="character" w:customStyle="1" w:styleId="HeaderChar">
    <w:name w:val="Header Char"/>
    <w:basedOn w:val="DefaultParagraphFont"/>
    <w:link w:val="Header"/>
    <w:uiPriority w:val="99"/>
    <w:rsid w:val="0073464B"/>
  </w:style>
  <w:style w:type="paragraph" w:styleId="Footer">
    <w:name w:val="footer"/>
    <w:basedOn w:val="Normal"/>
    <w:link w:val="FooterChar"/>
    <w:uiPriority w:val="99"/>
    <w:semiHidden/>
    <w:unhideWhenUsed/>
    <w:rsid w:val="00E972F1"/>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E972F1"/>
  </w:style>
  <w:style w:type="paragraph" w:styleId="ListParagraph">
    <w:name w:val="List Paragraph"/>
    <w:basedOn w:val="Normal"/>
    <w:uiPriority w:val="34"/>
    <w:qFormat/>
    <w:rsid w:val="00B012EF"/>
    <w:pPr>
      <w:ind w:left="720"/>
      <w:contextualSpacing/>
    </w:pPr>
  </w:style>
  <w:style w:type="character" w:styleId="FollowedHyperlink">
    <w:name w:val="FollowedHyperlink"/>
    <w:basedOn w:val="DefaultParagraphFont"/>
    <w:uiPriority w:val="99"/>
    <w:semiHidden/>
    <w:unhideWhenUsed/>
    <w:rsid w:val="00B012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736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itachi.com/en/"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x.com/HitachiEnerg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inkedin.com/company/hitachienergy/posts/?feedView=all"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hitachienergy.com"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edia.relations@hitachienergy.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8c89053-2e45-404c-ac67-ea3cd3aded8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61FD49E6044D46B227D3FD70A7ADB7" ma:contentTypeVersion="19" ma:contentTypeDescription="Create a new document." ma:contentTypeScope="" ma:versionID="99e5b98c3b273df901ce549d0dc792da">
  <xsd:schema xmlns:xsd="http://www.w3.org/2001/XMLSchema" xmlns:xs="http://www.w3.org/2001/XMLSchema" xmlns:p="http://schemas.microsoft.com/office/2006/metadata/properties" xmlns:ns3="25cff5d2-1d5e-4349-a624-b10d9b9f42fe" xmlns:ns4="d8c89053-2e45-404c-ac67-ea3cd3aded83" targetNamespace="http://schemas.microsoft.com/office/2006/metadata/properties" ma:root="true" ma:fieldsID="6188472c0f32d2d27d56579868ca0434" ns3:_="" ns4:_="">
    <xsd:import namespace="25cff5d2-1d5e-4349-a624-b10d9b9f42fe"/>
    <xsd:import namespace="d8c89053-2e45-404c-ac67-ea3cd3aded8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cff5d2-1d5e-4349-a624-b10d9b9f42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c89053-2e45-404c-ac67-ea3cd3aded8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DBB4BF-A17A-435E-BA6F-91FE5DE3A79B}">
  <ds:schemaRefs>
    <ds:schemaRef ds:uri="http://schemas.microsoft.com/sharepoint/v3/contenttype/forms"/>
  </ds:schemaRefs>
</ds:datastoreItem>
</file>

<file path=customXml/itemProps2.xml><?xml version="1.0" encoding="utf-8"?>
<ds:datastoreItem xmlns:ds="http://schemas.openxmlformats.org/officeDocument/2006/customXml" ds:itemID="{4237CC25-7FD5-402B-A70B-28FC0E2F5378}">
  <ds:schemaRefs>
    <ds:schemaRef ds:uri="http://schemas.microsoft.com/office/2006/metadata/properties"/>
    <ds:schemaRef ds:uri="http://schemas.microsoft.com/office/infopath/2007/PartnerControls"/>
    <ds:schemaRef ds:uri="d8c89053-2e45-404c-ac67-ea3cd3aded83"/>
  </ds:schemaRefs>
</ds:datastoreItem>
</file>

<file path=customXml/itemProps3.xml><?xml version="1.0" encoding="utf-8"?>
<ds:datastoreItem xmlns:ds="http://schemas.openxmlformats.org/officeDocument/2006/customXml" ds:itemID="{341436E2-598A-42D0-AD22-79F932019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cff5d2-1d5e-4349-a624-b10d9b9f42fe"/>
    <ds:schemaRef ds:uri="d8c89053-2e45-404c-ac67-ea3cd3aded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831e6d9-dc6c-4cd1-9ec6-1dc2b4133195}" enabled="0" method="" siteId="{7831e6d9-dc6c-4cd1-9ec6-1dc2b4133195}" removed="1"/>
</clbl:labelList>
</file>

<file path=docProps/app.xml><?xml version="1.0" encoding="utf-8"?>
<Properties xmlns="http://schemas.openxmlformats.org/officeDocument/2006/extended-properties" xmlns:vt="http://schemas.openxmlformats.org/officeDocument/2006/docPropsVTypes">
  <Template>Normal.dotm</Template>
  <TotalTime>13</TotalTime>
  <Pages>2</Pages>
  <Words>950</Words>
  <Characters>5419</Characters>
  <Application>Microsoft Office Word</Application>
  <DocSecurity>0</DocSecurity>
  <Lines>45</Lines>
  <Paragraphs>12</Paragraphs>
  <ScaleCrop>false</ScaleCrop>
  <Company/>
  <LinksUpToDate>false</LinksUpToDate>
  <CharactersWithSpaces>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Vishak Gopinath</dc:creator>
  <cp:lastModifiedBy>Gerhard Hope</cp:lastModifiedBy>
  <cp:revision>3</cp:revision>
  <cp:lastPrinted>2025-10-12T03:21:00Z</cp:lastPrinted>
  <dcterms:created xsi:type="dcterms:W3CDTF">2026-05-19T11:11:00Z</dcterms:created>
  <dcterms:modified xsi:type="dcterms:W3CDTF">2026-05-19T11:13:00Z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0x0101004461FD49E6044D46B227D3FD70A7ADB7</vt:lpwstr>
  </property>
  <property fmtid="{D5CDD505-2E9C-101B-9397-08002B2CF9AE}" pid="3" name="MediaServiceImageTags">
    <vt:lpwstr>MediaServiceImageTags</vt:lpwstr>
  </property>
  <property fmtid="{D5CDD505-2E9C-101B-9397-08002B2CF9AE}" pid="4" name="GrammarlyDocumentId">
    <vt:lpwstr>e032e614-bf6d-4678-87f5-c9c373d0f992</vt:lpwstr>
  </property>
  <property fmtid="{D5CDD505-2E9C-101B-9397-08002B2CF9AE}" pid="5" name="ClassificationContentMarkingFooterShapeIds">
    <vt:lpwstr>5739d886,3a4a9f47,189e6258</vt:lpwstr>
  </property>
  <property fmtid="{D5CDD505-2E9C-101B-9397-08002B2CF9AE}" pid="6" name="ClassificationContentMarkingFooterFontProps">
    <vt:lpwstr>#000000,10,Calibri</vt:lpwstr>
  </property>
  <property fmtid="{D5CDD505-2E9C-101B-9397-08002B2CF9AE}" pid="7" name="ClassificationContentMarkingFooterText">
    <vt:lpwstr>Confidential - Not for Public Consumption or Distribution</vt:lpwstr>
  </property>
  <property fmtid="{D5CDD505-2E9C-101B-9397-08002B2CF9AE}" pid="8" name="MSIP_Label_8e19d756-792e-42a1-bcad-4cb9051ddd2d_Enabled">
    <vt:lpwstr>true</vt:lpwstr>
  </property>
  <property fmtid="{D5CDD505-2E9C-101B-9397-08002B2CF9AE}" pid="9" name="MSIP_Label_8e19d756-792e-42a1-bcad-4cb9051ddd2d_SetDate">
    <vt:lpwstr>2025-09-22T07:07:10Z</vt:lpwstr>
  </property>
  <property fmtid="{D5CDD505-2E9C-101B-9397-08002B2CF9AE}" pid="10" name="MSIP_Label_8e19d756-792e-42a1-bcad-4cb9051ddd2d_Method">
    <vt:lpwstr>Standard</vt:lpwstr>
  </property>
  <property fmtid="{D5CDD505-2E9C-101B-9397-08002B2CF9AE}" pid="11" name="MSIP_Label_8e19d756-792e-42a1-bcad-4cb9051ddd2d_Name">
    <vt:lpwstr>Confidential</vt:lpwstr>
  </property>
  <property fmtid="{D5CDD505-2E9C-101B-9397-08002B2CF9AE}" pid="12" name="MSIP_Label_8e19d756-792e-42a1-bcad-4cb9051ddd2d_SiteId">
    <vt:lpwstr>41eb501a-f671-4ce0-a5bf-b64168c3705f</vt:lpwstr>
  </property>
  <property fmtid="{D5CDD505-2E9C-101B-9397-08002B2CF9AE}" pid="13" name="MSIP_Label_8e19d756-792e-42a1-bcad-4cb9051ddd2d_ActionId">
    <vt:lpwstr>90edafe4-0718-4323-a8ec-81160e3d472c</vt:lpwstr>
  </property>
  <property fmtid="{D5CDD505-2E9C-101B-9397-08002B2CF9AE}" pid="14" name="MSIP_Label_8e19d756-792e-42a1-bcad-4cb9051ddd2d_ContentBits">
    <vt:lpwstr>2</vt:lpwstr>
  </property>
  <property fmtid="{D5CDD505-2E9C-101B-9397-08002B2CF9AE}" pid="15" name="MSIP_Label_8e19d756-792e-42a1-bcad-4cb9051ddd2d_Tag">
    <vt:lpwstr>10, 3, 0, 1</vt:lpwstr>
  </property>
  <property fmtid="{D5CDD505-2E9C-101B-9397-08002B2CF9AE}" pid="16" name="docLang">
    <vt:lpwstr>en</vt:lpwstr>
  </property>
</Properties>
</file>