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DF6A58" w14:textId="012B27E7" w:rsidR="6DD0A499" w:rsidRPr="0094508B" w:rsidRDefault="6DD0A499" w:rsidP="6DD0A499">
      <w:pPr>
        <w:tabs>
          <w:tab w:val="left" w:pos="709"/>
        </w:tabs>
        <w:rPr>
          <w:b/>
          <w:bCs/>
          <w:sz w:val="28"/>
          <w:szCs w:val="28"/>
        </w:rPr>
      </w:pPr>
    </w:p>
    <w:p w14:paraId="6AF08D1C" w14:textId="26F5594C" w:rsidR="6DD0A499" w:rsidRPr="0094508B" w:rsidRDefault="6DD0A499" w:rsidP="6DD0A499">
      <w:pPr>
        <w:tabs>
          <w:tab w:val="left" w:pos="709"/>
        </w:tabs>
        <w:rPr>
          <w:b/>
          <w:bCs/>
          <w:sz w:val="28"/>
          <w:szCs w:val="28"/>
        </w:rPr>
      </w:pPr>
    </w:p>
    <w:p w14:paraId="102443A2" w14:textId="18923C83" w:rsidR="00FC1DD8" w:rsidRPr="0094508B" w:rsidRDefault="6DD0A499" w:rsidP="6DD0A499">
      <w:pPr>
        <w:tabs>
          <w:tab w:val="left" w:pos="709"/>
        </w:tabs>
        <w:rPr>
          <w:b/>
          <w:bCs/>
          <w:strike/>
          <w:sz w:val="28"/>
          <w:szCs w:val="28"/>
        </w:rPr>
      </w:pPr>
      <w:r w:rsidRPr="0094508B">
        <w:rPr>
          <w:b/>
          <w:bCs/>
          <w:sz w:val="28"/>
          <w:szCs w:val="28"/>
        </w:rPr>
        <w:t>How utilities are moderni</w:t>
      </w:r>
      <w:r w:rsidR="004B64A0">
        <w:rPr>
          <w:b/>
          <w:bCs/>
          <w:sz w:val="28"/>
          <w:szCs w:val="28"/>
        </w:rPr>
        <w:t>s</w:t>
      </w:r>
      <w:r w:rsidRPr="0094508B">
        <w:rPr>
          <w:b/>
          <w:bCs/>
          <w:sz w:val="28"/>
          <w:szCs w:val="28"/>
        </w:rPr>
        <w:t>ing grid infrastructure with digital substations</w:t>
      </w:r>
    </w:p>
    <w:p w14:paraId="6A29D47E" w14:textId="77777777" w:rsidR="00FC1DD8" w:rsidRPr="0094508B" w:rsidRDefault="00FC1DD8" w:rsidP="00DB4F18"/>
    <w:p w14:paraId="273B56C1" w14:textId="4A18BD5C" w:rsidR="00691EFA" w:rsidRPr="0094508B" w:rsidRDefault="6DD0A499" w:rsidP="00691EFA">
      <w:pPr>
        <w:tabs>
          <w:tab w:val="left" w:pos="709"/>
        </w:tabs>
      </w:pPr>
      <w:r w:rsidRPr="0094508B">
        <w:rPr>
          <w:b/>
          <w:bCs/>
        </w:rPr>
        <w:t xml:space="preserve">Johannesburg, South Africa, </w:t>
      </w:r>
      <w:r w:rsidR="00073968" w:rsidRPr="0094508B">
        <w:rPr>
          <w:b/>
          <w:bCs/>
        </w:rPr>
        <w:t>1</w:t>
      </w:r>
      <w:r w:rsidR="00F56525">
        <w:rPr>
          <w:b/>
          <w:bCs/>
        </w:rPr>
        <w:t>3</w:t>
      </w:r>
      <w:r w:rsidR="00EE18A6" w:rsidRPr="0094508B">
        <w:rPr>
          <w:b/>
          <w:bCs/>
        </w:rPr>
        <w:t xml:space="preserve"> May </w:t>
      </w:r>
      <w:r w:rsidRPr="0094508B">
        <w:rPr>
          <w:b/>
          <w:bCs/>
        </w:rPr>
        <w:t xml:space="preserve">2026 </w:t>
      </w:r>
      <w:r w:rsidRPr="0094508B">
        <w:t>–</w:t>
      </w:r>
      <w:r w:rsidRPr="0094508B">
        <w:rPr>
          <w:b/>
          <w:bCs/>
        </w:rPr>
        <w:t xml:space="preserve"> </w:t>
      </w:r>
      <w:r w:rsidRPr="0094508B">
        <w:t>As utilities moderni</w:t>
      </w:r>
      <w:r w:rsidR="004B64A0">
        <w:t>s</w:t>
      </w:r>
      <w:r w:rsidRPr="0094508B">
        <w:t>e their networks to meet growing demand and increasing complexity, the digital substation has become a cornerstone of next-generation grid infrastructure. But what exactly makes a substation digital, and how does it transform day-to-day operations?</w:t>
      </w:r>
    </w:p>
    <w:p w14:paraId="2A7C03BB" w14:textId="77777777" w:rsidR="00691EFA" w:rsidRPr="0094508B" w:rsidRDefault="00691EFA" w:rsidP="00691EFA">
      <w:pPr>
        <w:tabs>
          <w:tab w:val="left" w:pos="709"/>
        </w:tabs>
      </w:pPr>
    </w:p>
    <w:p w14:paraId="72A7E533" w14:textId="78E3CC3C" w:rsidR="00691EFA" w:rsidRPr="0094508B" w:rsidRDefault="00691EFA" w:rsidP="00691EFA">
      <w:pPr>
        <w:tabs>
          <w:tab w:val="left" w:pos="709"/>
        </w:tabs>
      </w:pPr>
      <w:r w:rsidRPr="0094508B">
        <w:t>At the heart of the digital substation lies a fundamental shift in the move from analogue, hardware-intensive systems to software-driven, data-centric architectures.</w:t>
      </w:r>
    </w:p>
    <w:p w14:paraId="2E10C9EE" w14:textId="77777777" w:rsidR="00691EFA" w:rsidRPr="0094508B" w:rsidRDefault="00691EFA" w:rsidP="00691EFA">
      <w:pPr>
        <w:tabs>
          <w:tab w:val="left" w:pos="709"/>
        </w:tabs>
      </w:pPr>
    </w:p>
    <w:p w14:paraId="340BB5DB" w14:textId="561F03F8" w:rsidR="00691EFA" w:rsidRPr="0094508B" w:rsidRDefault="00691EFA" w:rsidP="00691EFA">
      <w:pPr>
        <w:tabs>
          <w:tab w:val="left" w:pos="709"/>
        </w:tabs>
        <w:rPr>
          <w:b/>
          <w:bCs/>
        </w:rPr>
      </w:pPr>
      <w:r w:rsidRPr="0094508B">
        <w:rPr>
          <w:b/>
          <w:bCs/>
        </w:rPr>
        <w:t>Replacing copper with fibre</w:t>
      </w:r>
    </w:p>
    <w:p w14:paraId="404C5D43" w14:textId="7C1AA88F" w:rsidR="00691EFA" w:rsidRPr="0094508B" w:rsidRDefault="6DD0A499" w:rsidP="00691EFA">
      <w:pPr>
        <w:tabs>
          <w:tab w:val="left" w:pos="709"/>
        </w:tabs>
      </w:pPr>
      <w:r w:rsidRPr="0094508B">
        <w:t>One of the defining features of a digital substation is the implementation of a process bus, based on the IEC 61850 standard. This enables the replacement of thousands of traditional copper signaling wires with fiberoptic communication networks.</w:t>
      </w:r>
    </w:p>
    <w:p w14:paraId="4CA2B0DA" w14:textId="77777777" w:rsidR="00691EFA" w:rsidRPr="0094508B" w:rsidRDefault="00691EFA" w:rsidP="00691EFA">
      <w:pPr>
        <w:tabs>
          <w:tab w:val="left" w:pos="709"/>
        </w:tabs>
      </w:pPr>
    </w:p>
    <w:p w14:paraId="1867690C" w14:textId="396CA46A" w:rsidR="00691EFA" w:rsidRPr="0094508B" w:rsidRDefault="6DD0A499" w:rsidP="00691EFA">
      <w:pPr>
        <w:tabs>
          <w:tab w:val="left" w:pos="709"/>
        </w:tabs>
      </w:pPr>
      <w:r w:rsidRPr="0094508B">
        <w:t>Instead of transmitting electrical signals through physical connections, data is digiti</w:t>
      </w:r>
      <w:r w:rsidR="004B64A0">
        <w:t>s</w:t>
      </w:r>
      <w:r w:rsidRPr="0094508B">
        <w:t>ed at the source and communicated across the substation via a secure, standardi</w:t>
      </w:r>
      <w:r w:rsidR="004B64A0">
        <w:t>s</w:t>
      </w:r>
      <w:r w:rsidRPr="0094508B">
        <w:t>ed network. This dramatically simplifies wiring, reduces installation time, and enhances system flexibility.</w:t>
      </w:r>
    </w:p>
    <w:p w14:paraId="5235C0A2" w14:textId="77777777" w:rsidR="00691EFA" w:rsidRPr="0094508B" w:rsidRDefault="00691EFA" w:rsidP="00691EFA">
      <w:pPr>
        <w:tabs>
          <w:tab w:val="left" w:pos="709"/>
        </w:tabs>
      </w:pPr>
    </w:p>
    <w:p w14:paraId="732BE76E" w14:textId="77777777" w:rsidR="00691EFA" w:rsidRPr="0094508B" w:rsidRDefault="00691EFA" w:rsidP="00691EFA">
      <w:pPr>
        <w:tabs>
          <w:tab w:val="left" w:pos="709"/>
        </w:tabs>
      </w:pPr>
      <w:r w:rsidRPr="0094508B">
        <w:t xml:space="preserve">“The shift from copper to fibre is more than a technical upgrade,” says </w:t>
      </w:r>
      <w:r w:rsidRPr="0094508B">
        <w:rPr>
          <w:b/>
          <w:bCs/>
        </w:rPr>
        <w:t>Mohamed Hosseiny</w:t>
      </w:r>
      <w:r w:rsidRPr="0094508B">
        <w:t>, Oversight Country Managing Director for Africa at Hitachi Energy. “It fundamentally improves how information flows across the substation, enabling faster response times and more efficient operations.”</w:t>
      </w:r>
    </w:p>
    <w:p w14:paraId="765A6C55" w14:textId="77777777" w:rsidR="00691EFA" w:rsidRPr="0094508B" w:rsidRDefault="00691EFA" w:rsidP="00691EFA">
      <w:pPr>
        <w:tabs>
          <w:tab w:val="left" w:pos="709"/>
        </w:tabs>
      </w:pPr>
    </w:p>
    <w:p w14:paraId="044A1963" w14:textId="72FF678A" w:rsidR="00691EFA" w:rsidRPr="0094508B" w:rsidRDefault="00691EFA" w:rsidP="00691EFA">
      <w:pPr>
        <w:tabs>
          <w:tab w:val="left" w:pos="709"/>
        </w:tabs>
        <w:rPr>
          <w:b/>
          <w:bCs/>
        </w:rPr>
      </w:pPr>
      <w:r w:rsidRPr="0094508B">
        <w:rPr>
          <w:b/>
          <w:bCs/>
        </w:rPr>
        <w:t>The role of the process bus</w:t>
      </w:r>
    </w:p>
    <w:p w14:paraId="29BC8D49" w14:textId="77777777" w:rsidR="00691EFA" w:rsidRPr="0094508B" w:rsidRDefault="00691EFA" w:rsidP="00691EFA">
      <w:pPr>
        <w:tabs>
          <w:tab w:val="left" w:pos="709"/>
        </w:tabs>
      </w:pPr>
      <w:r w:rsidRPr="0094508B">
        <w:t>The process bus acts as the backbone of the digital substation, connecting high-voltage equipment in the switchyard to protection and control systems in the control room.</w:t>
      </w:r>
    </w:p>
    <w:p w14:paraId="4184E457" w14:textId="77777777" w:rsidR="00691EFA" w:rsidRPr="0094508B" w:rsidRDefault="00691EFA" w:rsidP="00691EFA">
      <w:pPr>
        <w:tabs>
          <w:tab w:val="left" w:pos="709"/>
        </w:tabs>
      </w:pPr>
    </w:p>
    <w:p w14:paraId="2238A7A3" w14:textId="77777777" w:rsidR="00691EFA" w:rsidRPr="0094508B" w:rsidRDefault="00691EFA" w:rsidP="00691EFA">
      <w:pPr>
        <w:tabs>
          <w:tab w:val="left" w:pos="709"/>
        </w:tabs>
      </w:pPr>
      <w:r w:rsidRPr="0094508B">
        <w:t>Through this architecture, real-time measurement data and status information can be shared seamlessly across devices, eliminating the need for complex point-to-point wiring.</w:t>
      </w:r>
    </w:p>
    <w:p w14:paraId="7283DD5F" w14:textId="77777777" w:rsidR="00691EFA" w:rsidRPr="0094508B" w:rsidRDefault="00691EFA" w:rsidP="00691EFA">
      <w:pPr>
        <w:tabs>
          <w:tab w:val="left" w:pos="709"/>
        </w:tabs>
      </w:pPr>
    </w:p>
    <w:p w14:paraId="47D07874" w14:textId="77777777" w:rsidR="00691EFA" w:rsidRPr="0094508B" w:rsidRDefault="00691EFA" w:rsidP="00691EFA">
      <w:pPr>
        <w:tabs>
          <w:tab w:val="left" w:pos="709"/>
        </w:tabs>
      </w:pPr>
      <w:r w:rsidRPr="0094508B">
        <w:t>This not only improves performance but also supports interoperability between different vendors, ensuring that utilities can build flexible, future-proof systems.</w:t>
      </w:r>
    </w:p>
    <w:p w14:paraId="23A9C632" w14:textId="77777777" w:rsidR="00691EFA" w:rsidRPr="0094508B" w:rsidRDefault="00691EFA" w:rsidP="00691EFA">
      <w:pPr>
        <w:tabs>
          <w:tab w:val="left" w:pos="709"/>
        </w:tabs>
      </w:pPr>
    </w:p>
    <w:p w14:paraId="04553012" w14:textId="4B3410CB" w:rsidR="00691EFA" w:rsidRPr="0094508B" w:rsidRDefault="00691EFA" w:rsidP="00691EFA">
      <w:pPr>
        <w:tabs>
          <w:tab w:val="left" w:pos="709"/>
        </w:tabs>
        <w:rPr>
          <w:b/>
          <w:bCs/>
        </w:rPr>
      </w:pPr>
      <w:r w:rsidRPr="0094508B">
        <w:rPr>
          <w:b/>
          <w:bCs/>
        </w:rPr>
        <w:t>Bridging legacy and digital systems</w:t>
      </w:r>
    </w:p>
    <w:p w14:paraId="5321D231" w14:textId="5D0B1D13" w:rsidR="00691EFA" w:rsidRPr="0094508B" w:rsidRDefault="6DD0A499" w:rsidP="00691EFA">
      <w:pPr>
        <w:tabs>
          <w:tab w:val="left" w:pos="709"/>
        </w:tabs>
      </w:pPr>
      <w:r w:rsidRPr="0094508B">
        <w:t>A key challenge for many utilities is how to moderni</w:t>
      </w:r>
      <w:r w:rsidR="000159BD">
        <w:t>se</w:t>
      </w:r>
      <w:r w:rsidRPr="0094508B">
        <w:t xml:space="preserve"> existing substations without replacing all installed equipment. This is where solutions such as Hitachi Energy’s SAM600 process bus I/O system play a critical role.</w:t>
      </w:r>
    </w:p>
    <w:p w14:paraId="53898FB8" w14:textId="77777777" w:rsidR="00691EFA" w:rsidRPr="0094508B" w:rsidRDefault="00691EFA" w:rsidP="00691EFA">
      <w:pPr>
        <w:tabs>
          <w:tab w:val="left" w:pos="709"/>
        </w:tabs>
      </w:pPr>
    </w:p>
    <w:p w14:paraId="5F5B7197" w14:textId="77777777" w:rsidR="00691EFA" w:rsidRPr="0094508B" w:rsidRDefault="00691EFA" w:rsidP="00691EFA">
      <w:pPr>
        <w:tabs>
          <w:tab w:val="left" w:pos="709"/>
        </w:tabs>
      </w:pPr>
      <w:r w:rsidRPr="0094508B">
        <w:t>SAM600 enables conventional instrument transformers and legacy equipment to integrate with modern digital systems, effectively bridging the gap between analogue and digital environments.</w:t>
      </w:r>
    </w:p>
    <w:p w14:paraId="52218F56" w14:textId="77777777" w:rsidR="00691EFA" w:rsidRPr="0094508B" w:rsidRDefault="00691EFA" w:rsidP="00691EFA">
      <w:pPr>
        <w:tabs>
          <w:tab w:val="left" w:pos="709"/>
        </w:tabs>
      </w:pPr>
    </w:p>
    <w:p w14:paraId="6C84BC24" w14:textId="3C4F4336" w:rsidR="00691EFA" w:rsidRPr="0094508B" w:rsidRDefault="6DD0A499" w:rsidP="00691EFA">
      <w:pPr>
        <w:tabs>
          <w:tab w:val="left" w:pos="709"/>
        </w:tabs>
      </w:pPr>
      <w:r w:rsidRPr="0094508B">
        <w:t xml:space="preserve">“Utilities do not need to start from scratch,” highlights </w:t>
      </w:r>
      <w:proofErr w:type="spellStart"/>
      <w:r w:rsidRPr="0094508B">
        <w:t>Hosseiny</w:t>
      </w:r>
      <w:proofErr w:type="spellEnd"/>
      <w:r w:rsidRPr="0094508B">
        <w:t>. “With solutions like SAM600, they can moderni</w:t>
      </w:r>
      <w:r w:rsidR="004B64A0">
        <w:t>s</w:t>
      </w:r>
      <w:r w:rsidRPr="0094508B">
        <w:t>e incrementally</w:t>
      </w:r>
      <w:r w:rsidR="004B64A0">
        <w:t>,</w:t>
      </w:r>
      <w:r w:rsidRPr="0094508B">
        <w:t xml:space="preserve"> upgrading performance and safety while protecting existing investments.”</w:t>
      </w:r>
    </w:p>
    <w:p w14:paraId="3B32B27B" w14:textId="77777777" w:rsidR="00691EFA" w:rsidRPr="0094508B" w:rsidRDefault="00691EFA" w:rsidP="00691EFA">
      <w:pPr>
        <w:tabs>
          <w:tab w:val="left" w:pos="709"/>
        </w:tabs>
      </w:pPr>
    </w:p>
    <w:p w14:paraId="4EA56487" w14:textId="42387EA6" w:rsidR="00691EFA" w:rsidRPr="0094508B" w:rsidRDefault="00691EFA" w:rsidP="00691EFA">
      <w:pPr>
        <w:tabs>
          <w:tab w:val="left" w:pos="709"/>
        </w:tabs>
        <w:rPr>
          <w:b/>
          <w:bCs/>
        </w:rPr>
      </w:pPr>
      <w:r w:rsidRPr="0094508B">
        <w:rPr>
          <w:b/>
          <w:bCs/>
        </w:rPr>
        <w:t>Enhancing safety and reducing downtime</w:t>
      </w:r>
    </w:p>
    <w:p w14:paraId="3A0E5F24" w14:textId="68C54717" w:rsidR="00691EFA" w:rsidRPr="0094508B" w:rsidRDefault="6DD0A499" w:rsidP="00691EFA">
      <w:pPr>
        <w:tabs>
          <w:tab w:val="left" w:pos="709"/>
        </w:tabs>
      </w:pPr>
      <w:r w:rsidRPr="0094508B">
        <w:t>By digiti</w:t>
      </w:r>
      <w:r w:rsidR="004B64A0">
        <w:t>s</w:t>
      </w:r>
      <w:r w:rsidRPr="0094508B">
        <w:t>ing current and voltage signals and transmitting them via optical fibres, digital substations significantly reduce the risks associated with handling high-voltage circuits.</w:t>
      </w:r>
    </w:p>
    <w:p w14:paraId="5464C896" w14:textId="77777777" w:rsidR="00691EFA" w:rsidRPr="0094508B" w:rsidRDefault="00691EFA" w:rsidP="00691EFA">
      <w:pPr>
        <w:tabs>
          <w:tab w:val="left" w:pos="709"/>
        </w:tabs>
      </w:pPr>
    </w:p>
    <w:p w14:paraId="396FFA89" w14:textId="77777777" w:rsidR="00691EFA" w:rsidRPr="0094508B" w:rsidRDefault="00691EFA" w:rsidP="00691EFA">
      <w:pPr>
        <w:tabs>
          <w:tab w:val="left" w:pos="709"/>
        </w:tabs>
      </w:pPr>
      <w:r w:rsidRPr="0094508B">
        <w:t>At the same time, modular and pre-tested systems streamline installation and commissioning, reducing outage times during upgrades or maintenance.</w:t>
      </w:r>
    </w:p>
    <w:p w14:paraId="17EB1DA8" w14:textId="77777777" w:rsidR="00691EFA" w:rsidRPr="0094508B" w:rsidRDefault="00691EFA" w:rsidP="00691EFA">
      <w:pPr>
        <w:tabs>
          <w:tab w:val="left" w:pos="709"/>
        </w:tabs>
      </w:pPr>
    </w:p>
    <w:p w14:paraId="31DD7F3D" w14:textId="77777777" w:rsidR="00691EFA" w:rsidRPr="0094508B" w:rsidRDefault="00691EFA" w:rsidP="00691EFA">
      <w:pPr>
        <w:tabs>
          <w:tab w:val="left" w:pos="709"/>
        </w:tabs>
      </w:pPr>
      <w:r w:rsidRPr="0094508B">
        <w:t>Continuous monitoring of substation components also enables predictive maintenance, allowing operators to identify and address potential issues before they lead to failures.</w:t>
      </w:r>
    </w:p>
    <w:p w14:paraId="19670C66" w14:textId="77777777" w:rsidR="00691EFA" w:rsidRPr="0094508B" w:rsidRDefault="00691EFA" w:rsidP="00691EFA">
      <w:pPr>
        <w:tabs>
          <w:tab w:val="left" w:pos="709"/>
        </w:tabs>
      </w:pPr>
    </w:p>
    <w:p w14:paraId="1486B5F2" w14:textId="0C5F6BFE" w:rsidR="00691EFA" w:rsidRPr="0094508B" w:rsidRDefault="00691EFA" w:rsidP="00691EFA">
      <w:pPr>
        <w:tabs>
          <w:tab w:val="left" w:pos="709"/>
        </w:tabs>
        <w:rPr>
          <w:b/>
          <w:bCs/>
        </w:rPr>
      </w:pPr>
      <w:r w:rsidRPr="0094508B">
        <w:rPr>
          <w:b/>
          <w:bCs/>
        </w:rPr>
        <w:t>Data-driven performance and asset management</w:t>
      </w:r>
    </w:p>
    <w:p w14:paraId="0EFEB8D8" w14:textId="3EF881A6" w:rsidR="00691EFA" w:rsidRPr="0094508B" w:rsidRDefault="00691EFA" w:rsidP="00691EFA">
      <w:pPr>
        <w:tabs>
          <w:tab w:val="left" w:pos="709"/>
        </w:tabs>
      </w:pPr>
      <w:r w:rsidRPr="0094508B">
        <w:t>Digital substations generate vast amounts of data</w:t>
      </w:r>
      <w:r w:rsidR="002546D7" w:rsidRPr="0094508B">
        <w:t>,</w:t>
      </w:r>
      <w:r w:rsidRPr="0094508B">
        <w:t xml:space="preserve"> from equipment health metrics to real-time operational conditions. Advanced asset management systems can analyse this data to optimise performance, improve maintenance planning</w:t>
      </w:r>
      <w:r w:rsidR="002546D7" w:rsidRPr="0094508B">
        <w:t>,</w:t>
      </w:r>
      <w:r w:rsidRPr="0094508B">
        <w:t xml:space="preserve"> and extend the lifespan of critical infrastructure.</w:t>
      </w:r>
    </w:p>
    <w:p w14:paraId="5D05E539" w14:textId="77777777" w:rsidR="00691EFA" w:rsidRPr="0094508B" w:rsidRDefault="00691EFA" w:rsidP="00691EFA">
      <w:pPr>
        <w:tabs>
          <w:tab w:val="left" w:pos="709"/>
        </w:tabs>
      </w:pPr>
    </w:p>
    <w:p w14:paraId="4637A2BC" w14:textId="5E928C6D" w:rsidR="00691EFA" w:rsidRPr="0094508B" w:rsidRDefault="00691EFA" w:rsidP="00691EFA">
      <w:pPr>
        <w:tabs>
          <w:tab w:val="left" w:pos="709"/>
        </w:tabs>
      </w:pPr>
      <w:r w:rsidRPr="0094508B">
        <w:t>These capabilities are particularly valuable in environments where reliability is paramount</w:t>
      </w:r>
      <w:r w:rsidR="002546D7" w:rsidRPr="0094508B">
        <w:t>,</w:t>
      </w:r>
      <w:r w:rsidRPr="0094508B">
        <w:t xml:space="preserve"> and unplanned outages carry significant economic and social costs.</w:t>
      </w:r>
    </w:p>
    <w:p w14:paraId="5F6AD6C5" w14:textId="77777777" w:rsidR="00691EFA" w:rsidRPr="0094508B" w:rsidRDefault="00691EFA" w:rsidP="00691EFA">
      <w:pPr>
        <w:tabs>
          <w:tab w:val="left" w:pos="709"/>
        </w:tabs>
      </w:pPr>
    </w:p>
    <w:p w14:paraId="38F3AB06" w14:textId="37222A9C" w:rsidR="00691EFA" w:rsidRPr="0094508B" w:rsidRDefault="00691EFA" w:rsidP="00691EFA">
      <w:pPr>
        <w:tabs>
          <w:tab w:val="left" w:pos="709"/>
        </w:tabs>
        <w:rPr>
          <w:b/>
          <w:bCs/>
        </w:rPr>
      </w:pPr>
      <w:r w:rsidRPr="0094508B">
        <w:rPr>
          <w:b/>
          <w:bCs/>
        </w:rPr>
        <w:t>Future-ready infrastructure</w:t>
      </w:r>
    </w:p>
    <w:p w14:paraId="76F4CAEF" w14:textId="77777777" w:rsidR="00691EFA" w:rsidRPr="0094508B" w:rsidRDefault="00691EFA" w:rsidP="00691EFA">
      <w:pPr>
        <w:tabs>
          <w:tab w:val="left" w:pos="709"/>
        </w:tabs>
      </w:pPr>
      <w:r w:rsidRPr="0094508B">
        <w:t>With the ability to process millions of data points and support rapid data exchange across the grid, digital substations are designed to meet both current and future demands.</w:t>
      </w:r>
    </w:p>
    <w:p w14:paraId="281A3726" w14:textId="77777777" w:rsidR="00691EFA" w:rsidRPr="0094508B" w:rsidRDefault="00691EFA" w:rsidP="00691EFA">
      <w:pPr>
        <w:tabs>
          <w:tab w:val="left" w:pos="709"/>
        </w:tabs>
      </w:pPr>
    </w:p>
    <w:p w14:paraId="10C27E41" w14:textId="226D5630" w:rsidR="00691EFA" w:rsidRPr="0094508B" w:rsidRDefault="6DD0A499" w:rsidP="00691EFA">
      <w:pPr>
        <w:tabs>
          <w:tab w:val="left" w:pos="709"/>
        </w:tabs>
      </w:pPr>
      <w:r w:rsidRPr="0094508B">
        <w:t>They provide the foundation for advanced applications such as remote operation, automated fault detection, and integration with broader smart grid ecosystems.</w:t>
      </w:r>
    </w:p>
    <w:p w14:paraId="1072481A" w14:textId="77777777" w:rsidR="00691EFA" w:rsidRPr="0094508B" w:rsidRDefault="00691EFA" w:rsidP="00691EFA">
      <w:pPr>
        <w:tabs>
          <w:tab w:val="left" w:pos="709"/>
        </w:tabs>
      </w:pPr>
    </w:p>
    <w:p w14:paraId="7D9CC69D" w14:textId="77777777" w:rsidR="004B64A0" w:rsidRDefault="00691EFA" w:rsidP="004B64A0">
      <w:pPr>
        <w:tabs>
          <w:tab w:val="left" w:pos="709"/>
        </w:tabs>
      </w:pPr>
      <w:r w:rsidRPr="0094508B">
        <w:t xml:space="preserve">“Digital substations are not just about today’s challenges,” concludes </w:t>
      </w:r>
      <w:proofErr w:type="spellStart"/>
      <w:r w:rsidRPr="0094508B">
        <w:t>Hosseiny</w:t>
      </w:r>
      <w:proofErr w:type="spellEnd"/>
      <w:r w:rsidRPr="0094508B">
        <w:t>. “They are about preparing utilities for the future</w:t>
      </w:r>
      <w:r w:rsidR="00C07CA3" w:rsidRPr="0094508B">
        <w:t>,</w:t>
      </w:r>
      <w:r w:rsidRPr="0094508B">
        <w:t xml:space="preserve"> enabling smarter, more resilient and more sustainable energy systems.”</w:t>
      </w:r>
    </w:p>
    <w:p w14:paraId="2E31F0F3" w14:textId="23689159" w:rsidR="0073464B" w:rsidRDefault="004B64A0" w:rsidP="004B64A0">
      <w:pPr>
        <w:tabs>
          <w:tab w:val="left" w:pos="709"/>
        </w:tabs>
        <w:rPr>
          <w:sz w:val="18"/>
          <w:szCs w:val="18"/>
        </w:rPr>
      </w:pPr>
      <w:r>
        <w:rPr>
          <w:sz w:val="18"/>
          <w:szCs w:val="18"/>
        </w:rPr>
        <w:t xml:space="preserve"> </w:t>
      </w:r>
    </w:p>
    <w:sectPr w:rsidR="0073464B" w:rsidSect="00425F5D"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1" w:h="16834"/>
      <w:pgMar w:top="822" w:right="822" w:bottom="1170" w:left="822" w:header="454" w:footer="612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F7F8BC" w14:textId="77777777" w:rsidR="00F22A83" w:rsidRPr="0094508B" w:rsidRDefault="00F22A83">
      <w:pPr>
        <w:spacing w:line="240" w:lineRule="auto"/>
      </w:pPr>
      <w:r w:rsidRPr="0094508B">
        <w:separator/>
      </w:r>
    </w:p>
  </w:endnote>
  <w:endnote w:type="continuationSeparator" w:id="0">
    <w:p w14:paraId="51C100BB" w14:textId="77777777" w:rsidR="00F22A83" w:rsidRPr="0094508B" w:rsidRDefault="00F22A83">
      <w:pPr>
        <w:spacing w:line="240" w:lineRule="auto"/>
      </w:pPr>
      <w:r w:rsidRPr="0094508B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itachi Sans">
    <w:altName w:val="Calibri"/>
    <w:panose1 w:val="00000000000000000000"/>
    <w:charset w:val="00"/>
    <w:family w:val="modern"/>
    <w:notTrueType/>
    <w:pitch w:val="variable"/>
    <w:sig w:usb0="A00000EF" w:usb1="4000A07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F5ABC80-7A02-4B97-9512-9A7F9E0EB8F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398A1198-AAFD-41D1-AB20-9B52CA01A1B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3DDAF" w14:textId="77777777" w:rsidR="00FC1DD8" w:rsidRPr="0094508B" w:rsidRDefault="004352E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59" w:lineRule="auto"/>
      <w:rPr>
        <w:b/>
        <w:color w:val="000000"/>
        <w:sz w:val="18"/>
        <w:szCs w:val="18"/>
      </w:rPr>
    </w:pPr>
    <w:r w:rsidRPr="0094508B">
      <w:rPr>
        <w:noProof/>
      </w:rPr>
      <mc:AlternateContent>
        <mc:Choice Requires="wps">
          <w:drawing>
            <wp:anchor distT="0" distB="0" distL="0" distR="0" simplePos="0" relativeHeight="251658242" behindDoc="0" locked="0" layoutInCell="1" hidden="0" allowOverlap="1" wp14:anchorId="7CF59F80" wp14:editId="75F4FBAA">
              <wp:simplePos x="0" y="0"/>
              <wp:positionH relativeFrom="column">
                <wp:posOffset>1267460</wp:posOffset>
              </wp:positionH>
              <wp:positionV relativeFrom="paragraph">
                <wp:posOffset>-4761</wp:posOffset>
              </wp:positionV>
              <wp:extent cx="2934335" cy="362585"/>
              <wp:effectExtent l="0" t="0" r="0" b="0"/>
              <wp:wrapNone/>
              <wp:docPr id="3" name="Rectangle 3" descr="Confidential - Not for Public Consumption or Distribution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883595" y="3603470"/>
                        <a:ext cx="2924810" cy="3530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4726D47" w14:textId="77777777" w:rsidR="00FC1DD8" w:rsidRPr="0094508B" w:rsidRDefault="004352E6">
                          <w:pPr>
                            <w:spacing w:line="251" w:lineRule="auto"/>
                            <w:textDirection w:val="btLr"/>
                          </w:pPr>
                          <w:r w:rsidRPr="0094508B"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</w:rPr>
                            <w:t>Confidential - Not for Public Consumption or Distribution</w:t>
                          </w:r>
                        </w:p>
                      </w:txbxContent>
                    </wps:txbx>
                    <wps:bodyPr spcFirstLastPara="1" wrap="square" lIns="0" tIns="0" rIns="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CF59F80" id="Rectangle 3" o:spid="_x0000_s1026" alt="Confidential - Not for Public Consumption or Distribution" style="position:absolute;margin-left:99.8pt;margin-top:-.35pt;width:231.05pt;height:28.55pt;z-index:25165824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" filled="f" stroked="f">
              <v:textbox inset="0,0,0,15pt">
                <w:txbxContent>
                  <w:p w14:paraId="64726D47" w14:textId="77777777" w:rsidR="00FC1DD8" w:rsidRPr="0094508B" w:rsidRDefault="004352E6">
                    <w:pPr>
                      <w:spacing w:line="251" w:lineRule="auto"/>
                      <w:textDirection w:val="btLr"/>
                    </w:pPr>
                    <w:r w:rsidRPr="0094508B">
                      <w:rPr>
                        <w:rFonts w:ascii="Calibri" w:eastAsia="Calibri" w:hAnsi="Calibri" w:cs="Calibri"/>
                        <w:color w:val="000000"/>
                        <w:sz w:val="20"/>
                      </w:rPr>
                      <w:t>Confidential - Not for Public Consumption or Distribution</w:t>
                    </w:r>
                  </w:p>
                </w:txbxContent>
              </v:textbox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F2D45F" w14:textId="2A5A12AD" w:rsidR="00FC1DD8" w:rsidRPr="0094508B" w:rsidRDefault="00FC1DD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  <w:tab w:val="left" w:pos="582"/>
        <w:tab w:val="right" w:pos="10257"/>
      </w:tabs>
      <w:spacing w:line="259" w:lineRule="auto"/>
      <w:rPr>
        <w:b/>
        <w:color w:val="000000"/>
        <w:sz w:val="18"/>
        <w:szCs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3317DD" w14:textId="686AD935" w:rsidR="00FC1DD8" w:rsidRPr="0094508B" w:rsidRDefault="00FC1DD8" w:rsidP="001B6915">
    <w:pPr>
      <w:widowControl w:val="0"/>
      <w:tabs>
        <w:tab w:val="left" w:pos="1306"/>
      </w:tabs>
      <w:ind w:right="-20"/>
      <w:jc w:val="both"/>
      <w:rPr>
        <w:b/>
        <w:color w:val="000000" w:themeColor="text1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8D056A" w14:textId="77777777" w:rsidR="00F22A83" w:rsidRPr="0094508B" w:rsidRDefault="00F22A83">
      <w:pPr>
        <w:spacing w:line="240" w:lineRule="auto"/>
      </w:pPr>
      <w:r w:rsidRPr="0094508B">
        <w:separator/>
      </w:r>
    </w:p>
  </w:footnote>
  <w:footnote w:type="continuationSeparator" w:id="0">
    <w:p w14:paraId="2EAF3CA0" w14:textId="77777777" w:rsidR="00F22A83" w:rsidRPr="0094508B" w:rsidRDefault="00F22A83">
      <w:pPr>
        <w:spacing w:line="240" w:lineRule="auto"/>
      </w:pPr>
      <w:r w:rsidRPr="0094508B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315BB5" w14:textId="77777777" w:rsidR="00FC1DD8" w:rsidRPr="0094508B" w:rsidRDefault="00FC1DD8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  <w:sz w:val="18"/>
        <w:szCs w:val="18"/>
      </w:rPr>
    </w:pPr>
  </w:p>
  <w:tbl>
    <w:tblPr>
      <w:tblStyle w:val="2"/>
      <w:tblW w:w="10245" w:type="dxa"/>
      <w:tblInd w:w="0" w:type="dxa"/>
      <w:tblLayout w:type="fixed"/>
      <w:tblLook w:val="0600" w:firstRow="0" w:lastRow="0" w:firstColumn="0" w:lastColumn="0" w:noHBand="1" w:noVBand="1"/>
    </w:tblPr>
    <w:tblGrid>
      <w:gridCol w:w="3415"/>
      <w:gridCol w:w="3415"/>
      <w:gridCol w:w="3415"/>
    </w:tblGrid>
    <w:tr w:rsidR="00FC1DD8" w:rsidRPr="0094508B" w14:paraId="00CFD9B0" w14:textId="77777777">
      <w:trPr>
        <w:trHeight w:val="300"/>
      </w:trPr>
      <w:tc>
        <w:tcPr>
          <w:tcW w:w="3415" w:type="dxa"/>
        </w:tcPr>
        <w:p w14:paraId="48982165" w14:textId="77777777" w:rsidR="00FC1DD8" w:rsidRPr="0094508B" w:rsidRDefault="00FC1DD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line="240" w:lineRule="auto"/>
            <w:ind w:left="-115"/>
            <w:rPr>
              <w:color w:val="000000"/>
              <w:sz w:val="16"/>
              <w:szCs w:val="16"/>
            </w:rPr>
          </w:pPr>
        </w:p>
      </w:tc>
      <w:tc>
        <w:tcPr>
          <w:tcW w:w="3415" w:type="dxa"/>
        </w:tcPr>
        <w:p w14:paraId="0F45F616" w14:textId="77777777" w:rsidR="00FC1DD8" w:rsidRPr="0094508B" w:rsidRDefault="00FC1DD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line="240" w:lineRule="auto"/>
            <w:jc w:val="center"/>
            <w:rPr>
              <w:color w:val="000000"/>
              <w:sz w:val="16"/>
              <w:szCs w:val="16"/>
            </w:rPr>
          </w:pPr>
        </w:p>
      </w:tc>
      <w:tc>
        <w:tcPr>
          <w:tcW w:w="3415" w:type="dxa"/>
        </w:tcPr>
        <w:p w14:paraId="09FE6E08" w14:textId="77777777" w:rsidR="00FC1DD8" w:rsidRPr="0094508B" w:rsidRDefault="00FC1DD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line="240" w:lineRule="auto"/>
            <w:ind w:right="-115"/>
            <w:jc w:val="right"/>
            <w:rPr>
              <w:color w:val="000000"/>
              <w:sz w:val="16"/>
              <w:szCs w:val="16"/>
            </w:rPr>
          </w:pPr>
        </w:p>
      </w:tc>
    </w:tr>
  </w:tbl>
  <w:p w14:paraId="40DEF1EE" w14:textId="77777777" w:rsidR="00FC1DD8" w:rsidRPr="0094508B" w:rsidRDefault="00FC1DD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rPr>
        <w:color w:val="000000"/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EEC58A" w14:textId="77777777" w:rsidR="00FC1DD8" w:rsidRPr="0094508B" w:rsidRDefault="00FC1DD8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  <w:sz w:val="16"/>
        <w:szCs w:val="16"/>
      </w:rPr>
    </w:pPr>
  </w:p>
  <w:tbl>
    <w:tblPr>
      <w:tblStyle w:val="1"/>
      <w:tblpPr w:leftFromText="181" w:rightFromText="5670" w:bottomFromText="397" w:vertAnchor="page" w:horzAnchor="page" w:tblpY="710"/>
      <w:tblW w:w="5669" w:type="dxa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5669"/>
    </w:tblGrid>
    <w:tr w:rsidR="00FC1DD8" w:rsidRPr="0094508B" w14:paraId="480C616A" w14:textId="77777777">
      <w:trPr>
        <w:trHeight w:val="850"/>
      </w:trPr>
      <w:tc>
        <w:tcPr>
          <w:tcW w:w="5669" w:type="dxa"/>
        </w:tcPr>
        <w:p w14:paraId="151D23EA" w14:textId="77777777" w:rsidR="00FC1DD8" w:rsidRPr="0094508B" w:rsidRDefault="004352E6" w:rsidP="0073464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line="245" w:lineRule="auto"/>
            <w:ind w:left="810"/>
            <w:rPr>
              <w:color w:val="000000"/>
              <w:sz w:val="32"/>
              <w:szCs w:val="32"/>
            </w:rPr>
          </w:pPr>
          <w:r w:rsidRPr="0094508B">
            <w:rPr>
              <w:color w:val="000000"/>
              <w:sz w:val="32"/>
              <w:szCs w:val="32"/>
            </w:rPr>
            <w:t>News Release</w:t>
          </w:r>
        </w:p>
        <w:p w14:paraId="19F78740" w14:textId="77777777" w:rsidR="00FC1DD8" w:rsidRPr="0094508B" w:rsidRDefault="004352E6" w:rsidP="0073464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line="245" w:lineRule="auto"/>
            <w:ind w:left="810"/>
            <w:rPr>
              <w:color w:val="000000"/>
              <w:sz w:val="32"/>
              <w:szCs w:val="32"/>
            </w:rPr>
          </w:pPr>
          <w:r w:rsidRPr="0094508B">
            <w:rPr>
              <w:color w:val="FA000F"/>
              <w:sz w:val="32"/>
              <w:szCs w:val="32"/>
            </w:rPr>
            <w:t>For Immediate Release</w:t>
          </w:r>
        </w:p>
      </w:tc>
    </w:tr>
  </w:tbl>
  <w:p w14:paraId="1E01FE12" w14:textId="77777777" w:rsidR="00FC1DD8" w:rsidRPr="0094508B" w:rsidRDefault="004352E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rPr>
        <w:color w:val="000000"/>
        <w:sz w:val="16"/>
        <w:szCs w:val="16"/>
      </w:rPr>
    </w:pPr>
    <w:r w:rsidRPr="0094508B">
      <w:rPr>
        <w:color w:val="000000"/>
        <w:sz w:val="16"/>
        <w:szCs w:val="16"/>
      </w:rPr>
      <w:t xml:space="preserve"> </w:t>
    </w:r>
    <w:r w:rsidRPr="0094508B">
      <w:rPr>
        <w:noProof/>
        <w:color w:val="000000"/>
        <w:sz w:val="16"/>
        <w:szCs w:val="16"/>
      </w:rPr>
      <w:drawing>
        <wp:anchor distT="0" distB="0" distL="114300" distR="114300" simplePos="0" relativeHeight="251658240" behindDoc="0" locked="0" layoutInCell="1" hidden="0" allowOverlap="1" wp14:anchorId="5ECF1EF4" wp14:editId="4AE35C9E">
          <wp:simplePos x="0" y="0"/>
          <wp:positionH relativeFrom="page">
            <wp:posOffset>4781550</wp:posOffset>
          </wp:positionH>
          <wp:positionV relativeFrom="page">
            <wp:posOffset>431800</wp:posOffset>
          </wp:positionV>
          <wp:extent cx="2336400" cy="518400"/>
          <wp:effectExtent l="0" t="0" r="0" b="0"/>
          <wp:wrapNone/>
          <wp:docPr id="657173656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36400" cy="518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7A34CB"/>
    <w:multiLevelType w:val="hybridMultilevel"/>
    <w:tmpl w:val="C2D605AA"/>
    <w:lvl w:ilvl="0" w:tplc="FF9CB866">
      <w:start w:val="1"/>
      <w:numFmt w:val="decimal"/>
      <w:lvlText w:val="%1."/>
      <w:lvlJc w:val="left"/>
      <w:pPr>
        <w:ind w:left="3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60" w:hanging="360"/>
      </w:pPr>
    </w:lvl>
    <w:lvl w:ilvl="2" w:tplc="0409001B" w:tentative="1">
      <w:start w:val="1"/>
      <w:numFmt w:val="lowerRoman"/>
      <w:lvlText w:val="%3."/>
      <w:lvlJc w:val="right"/>
      <w:pPr>
        <w:ind w:left="1780" w:hanging="180"/>
      </w:pPr>
    </w:lvl>
    <w:lvl w:ilvl="3" w:tplc="0409000F" w:tentative="1">
      <w:start w:val="1"/>
      <w:numFmt w:val="decimal"/>
      <w:lvlText w:val="%4."/>
      <w:lvlJc w:val="left"/>
      <w:pPr>
        <w:ind w:left="2500" w:hanging="360"/>
      </w:pPr>
    </w:lvl>
    <w:lvl w:ilvl="4" w:tplc="04090019" w:tentative="1">
      <w:start w:val="1"/>
      <w:numFmt w:val="lowerLetter"/>
      <w:lvlText w:val="%5."/>
      <w:lvlJc w:val="left"/>
      <w:pPr>
        <w:ind w:left="3220" w:hanging="360"/>
      </w:pPr>
    </w:lvl>
    <w:lvl w:ilvl="5" w:tplc="0409001B" w:tentative="1">
      <w:start w:val="1"/>
      <w:numFmt w:val="lowerRoman"/>
      <w:lvlText w:val="%6."/>
      <w:lvlJc w:val="right"/>
      <w:pPr>
        <w:ind w:left="3940" w:hanging="180"/>
      </w:pPr>
    </w:lvl>
    <w:lvl w:ilvl="6" w:tplc="0409000F" w:tentative="1">
      <w:start w:val="1"/>
      <w:numFmt w:val="decimal"/>
      <w:lvlText w:val="%7."/>
      <w:lvlJc w:val="left"/>
      <w:pPr>
        <w:ind w:left="4660" w:hanging="360"/>
      </w:pPr>
    </w:lvl>
    <w:lvl w:ilvl="7" w:tplc="04090019" w:tentative="1">
      <w:start w:val="1"/>
      <w:numFmt w:val="lowerLetter"/>
      <w:lvlText w:val="%8."/>
      <w:lvlJc w:val="left"/>
      <w:pPr>
        <w:ind w:left="5380" w:hanging="360"/>
      </w:pPr>
    </w:lvl>
    <w:lvl w:ilvl="8" w:tplc="0409001B" w:tentative="1">
      <w:start w:val="1"/>
      <w:numFmt w:val="lowerRoman"/>
      <w:lvlText w:val="%9."/>
      <w:lvlJc w:val="right"/>
      <w:pPr>
        <w:ind w:left="6100" w:hanging="180"/>
      </w:pPr>
    </w:lvl>
  </w:abstractNum>
  <w:abstractNum w:abstractNumId="1" w15:restartNumberingAfterBreak="0">
    <w:nsid w:val="24DA72D6"/>
    <w:multiLevelType w:val="multilevel"/>
    <w:tmpl w:val="A7EA296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D3E4CF6"/>
    <w:multiLevelType w:val="multilevel"/>
    <w:tmpl w:val="7BC00D3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7B9A26D2"/>
    <w:multiLevelType w:val="multilevel"/>
    <w:tmpl w:val="0CFEE27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7E141FCB"/>
    <w:multiLevelType w:val="multilevel"/>
    <w:tmpl w:val="C366986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826235922">
    <w:abstractNumId w:val="1"/>
  </w:num>
  <w:num w:numId="2" w16cid:durableId="1662268015">
    <w:abstractNumId w:val="3"/>
  </w:num>
  <w:num w:numId="3" w16cid:durableId="303853883">
    <w:abstractNumId w:val="4"/>
  </w:num>
  <w:num w:numId="4" w16cid:durableId="1345859760">
    <w:abstractNumId w:val="2"/>
  </w:num>
  <w:num w:numId="5" w16cid:durableId="18590077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1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1DD8"/>
    <w:rsid w:val="000060B4"/>
    <w:rsid w:val="000159BD"/>
    <w:rsid w:val="00073968"/>
    <w:rsid w:val="00134169"/>
    <w:rsid w:val="00142183"/>
    <w:rsid w:val="001434C0"/>
    <w:rsid w:val="00154A42"/>
    <w:rsid w:val="00161A7F"/>
    <w:rsid w:val="00165F02"/>
    <w:rsid w:val="00185FC8"/>
    <w:rsid w:val="001B6915"/>
    <w:rsid w:val="001D2A6D"/>
    <w:rsid w:val="001E0C1F"/>
    <w:rsid w:val="001F7542"/>
    <w:rsid w:val="00204654"/>
    <w:rsid w:val="002546D7"/>
    <w:rsid w:val="00256033"/>
    <w:rsid w:val="002D7D57"/>
    <w:rsid w:val="002E24F9"/>
    <w:rsid w:val="002E2F9C"/>
    <w:rsid w:val="002F52AF"/>
    <w:rsid w:val="002F6D80"/>
    <w:rsid w:val="00327F71"/>
    <w:rsid w:val="00337DF6"/>
    <w:rsid w:val="00340B95"/>
    <w:rsid w:val="00391F09"/>
    <w:rsid w:val="003A7A3C"/>
    <w:rsid w:val="003D5832"/>
    <w:rsid w:val="00425F5D"/>
    <w:rsid w:val="004352E6"/>
    <w:rsid w:val="0048342B"/>
    <w:rsid w:val="00487BBA"/>
    <w:rsid w:val="004B1228"/>
    <w:rsid w:val="004B64A0"/>
    <w:rsid w:val="004D50C5"/>
    <w:rsid w:val="005058AE"/>
    <w:rsid w:val="005178E4"/>
    <w:rsid w:val="005772CD"/>
    <w:rsid w:val="0058298C"/>
    <w:rsid w:val="00583F45"/>
    <w:rsid w:val="00591E3B"/>
    <w:rsid w:val="005B2682"/>
    <w:rsid w:val="005B4969"/>
    <w:rsid w:val="005B7358"/>
    <w:rsid w:val="005C7308"/>
    <w:rsid w:val="00603743"/>
    <w:rsid w:val="00625BA4"/>
    <w:rsid w:val="00633C62"/>
    <w:rsid w:val="006361B7"/>
    <w:rsid w:val="006363E9"/>
    <w:rsid w:val="00691EFA"/>
    <w:rsid w:val="006A5694"/>
    <w:rsid w:val="006C7935"/>
    <w:rsid w:val="006D22AA"/>
    <w:rsid w:val="00721E7F"/>
    <w:rsid w:val="00722360"/>
    <w:rsid w:val="007231B9"/>
    <w:rsid w:val="0073464B"/>
    <w:rsid w:val="0079604B"/>
    <w:rsid w:val="00796D5F"/>
    <w:rsid w:val="007C5187"/>
    <w:rsid w:val="00865DB4"/>
    <w:rsid w:val="00896DA3"/>
    <w:rsid w:val="008A4240"/>
    <w:rsid w:val="008F70AE"/>
    <w:rsid w:val="009219D5"/>
    <w:rsid w:val="0094508B"/>
    <w:rsid w:val="009616A1"/>
    <w:rsid w:val="009813E3"/>
    <w:rsid w:val="00991D7A"/>
    <w:rsid w:val="00997A87"/>
    <w:rsid w:val="009A437E"/>
    <w:rsid w:val="00A04A69"/>
    <w:rsid w:val="00A225BB"/>
    <w:rsid w:val="00A93185"/>
    <w:rsid w:val="00A949E4"/>
    <w:rsid w:val="00AD70CA"/>
    <w:rsid w:val="00B012EF"/>
    <w:rsid w:val="00B34CA1"/>
    <w:rsid w:val="00B93A9F"/>
    <w:rsid w:val="00C07CA3"/>
    <w:rsid w:val="00C27FA8"/>
    <w:rsid w:val="00C71AEF"/>
    <w:rsid w:val="00CB3838"/>
    <w:rsid w:val="00CC0050"/>
    <w:rsid w:val="00CE1917"/>
    <w:rsid w:val="00CE73D5"/>
    <w:rsid w:val="00D32033"/>
    <w:rsid w:val="00D807A0"/>
    <w:rsid w:val="00DB4F18"/>
    <w:rsid w:val="00E247ED"/>
    <w:rsid w:val="00E2510B"/>
    <w:rsid w:val="00E35804"/>
    <w:rsid w:val="00E46296"/>
    <w:rsid w:val="00E75CA6"/>
    <w:rsid w:val="00E91104"/>
    <w:rsid w:val="00E972F1"/>
    <w:rsid w:val="00EB2163"/>
    <w:rsid w:val="00EB7507"/>
    <w:rsid w:val="00EC180D"/>
    <w:rsid w:val="00ED55F9"/>
    <w:rsid w:val="00EE18A6"/>
    <w:rsid w:val="00F22A83"/>
    <w:rsid w:val="00F55473"/>
    <w:rsid w:val="00F56525"/>
    <w:rsid w:val="00F90785"/>
    <w:rsid w:val="00FC1DD8"/>
    <w:rsid w:val="00FC7F71"/>
    <w:rsid w:val="076B08B9"/>
    <w:rsid w:val="0C168C29"/>
    <w:rsid w:val="2DFBFAB7"/>
    <w:rsid w:val="66DE4758"/>
    <w:rsid w:val="6C94B987"/>
    <w:rsid w:val="6DD0A499"/>
    <w:rsid w:val="70C17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,"/>
  <w14:docId w14:val="5DCA6147"/>
  <w15:docId w15:val="{4961DD90-3592-47CC-BB24-61CDF0DF55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Hitachi Sans" w:eastAsia="Hitachi Sans" w:hAnsi="Hitachi Sans" w:cs="Hitachi Sans"/>
        <w:sz w:val="22"/>
        <w:szCs w:val="22"/>
        <w:lang w:val="en" w:eastAsia="en-US" w:bidi="ar-SA"/>
      </w:rPr>
    </w:rPrDefault>
    <w:pPrDefault>
      <w:pPr>
        <w:spacing w:line="25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GB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after="240"/>
      <w:outlineLvl w:val="0"/>
    </w:pPr>
    <w:rPr>
      <w:b/>
      <w:color w:val="00000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after="120"/>
      <w:outlineLvl w:val="1"/>
    </w:pPr>
    <w:rPr>
      <w:b/>
      <w:color w:val="000000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BB000B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BB000B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BB000B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i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before="480" w:after="160" w:line="240" w:lineRule="auto"/>
    </w:pPr>
    <w:rPr>
      <w:b/>
      <w:sz w:val="28"/>
      <w:szCs w:val="28"/>
    </w:rPr>
  </w:style>
  <w:style w:type="paragraph" w:styleId="Subtitle">
    <w:name w:val="Subtitle"/>
    <w:basedOn w:val="Normal"/>
    <w:next w:val="Normal"/>
    <w:uiPriority w:val="11"/>
    <w:qFormat/>
    <w:pPr>
      <w:spacing w:after="160" w:line="288" w:lineRule="auto"/>
    </w:pPr>
    <w:rPr>
      <w:color w:val="0C0C0C"/>
    </w:rPr>
  </w:style>
  <w:style w:type="table" w:customStyle="1" w:styleId="4">
    <w:name w:val="4"/>
    <w:basedOn w:val="TableNormal0"/>
    <w:tblPr>
      <w:tblStyleRowBandSize w:val="1"/>
      <w:tblStyleColBandSize w:val="1"/>
    </w:tblPr>
  </w:style>
  <w:style w:type="table" w:customStyle="1" w:styleId="3">
    <w:name w:val="3"/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2"/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">
    <w:name w:val="1"/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8A42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normaltextrun">
    <w:name w:val="normaltextrun"/>
    <w:basedOn w:val="DefaultParagraphFont"/>
    <w:rsid w:val="008A4240"/>
  </w:style>
  <w:style w:type="character" w:customStyle="1" w:styleId="eop">
    <w:name w:val="eop"/>
    <w:basedOn w:val="DefaultParagraphFont"/>
    <w:rsid w:val="008A4240"/>
  </w:style>
  <w:style w:type="character" w:styleId="Hyperlink">
    <w:name w:val="Hyperlink"/>
    <w:basedOn w:val="DefaultParagraphFont"/>
    <w:uiPriority w:val="99"/>
    <w:unhideWhenUsed/>
    <w:rsid w:val="0073464B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3464B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73464B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464B"/>
  </w:style>
  <w:style w:type="paragraph" w:styleId="Footer">
    <w:name w:val="footer"/>
    <w:basedOn w:val="Normal"/>
    <w:link w:val="FooterChar"/>
    <w:uiPriority w:val="99"/>
    <w:semiHidden/>
    <w:unhideWhenUsed/>
    <w:rsid w:val="00E972F1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972F1"/>
  </w:style>
  <w:style w:type="paragraph" w:styleId="ListParagraph">
    <w:name w:val="List Paragraph"/>
    <w:basedOn w:val="Normal"/>
    <w:uiPriority w:val="34"/>
    <w:qFormat/>
    <w:rsid w:val="00B012EF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B012E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0073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d8c89053-2e45-404c-ac67-ea3cd3aded8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461FD49E6044D46B227D3FD70A7ADB7" ma:contentTypeVersion="19" ma:contentTypeDescription="Create a new document." ma:contentTypeScope="" ma:versionID="99e5b98c3b273df901ce549d0dc792da">
  <xsd:schema xmlns:xsd="http://www.w3.org/2001/XMLSchema" xmlns:xs="http://www.w3.org/2001/XMLSchema" xmlns:p="http://schemas.microsoft.com/office/2006/metadata/properties" xmlns:ns3="25cff5d2-1d5e-4349-a624-b10d9b9f42fe" xmlns:ns4="d8c89053-2e45-404c-ac67-ea3cd3aded83" targetNamespace="http://schemas.microsoft.com/office/2006/metadata/properties" ma:root="true" ma:fieldsID="6188472c0f32d2d27d56579868ca0434" ns3:_="" ns4:_="">
    <xsd:import namespace="25cff5d2-1d5e-4349-a624-b10d9b9f42fe"/>
    <xsd:import namespace="d8c89053-2e45-404c-ac67-ea3cd3aded83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Location" minOccurs="0"/>
                <xsd:element ref="ns4:MediaLengthInSeconds" minOccurs="0"/>
                <xsd:element ref="ns4:_activity" minOccurs="0"/>
                <xsd:element ref="ns4:MediaServiceObjectDetectorVersions" minOccurs="0"/>
                <xsd:element ref="ns4:MediaServiceSystemTags" minOccurs="0"/>
                <xsd:element ref="ns4:MediaServiceSearchProperties" minOccurs="0"/>
                <xsd:element ref="ns4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cff5d2-1d5e-4349-a624-b10d9b9f42f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c89053-2e45-404c-ac67-ea3cd3aded8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237CC25-7FD5-402B-A70B-28FC0E2F5378}">
  <ds:schemaRefs>
    <ds:schemaRef ds:uri="http://schemas.microsoft.com/office/2006/metadata/properties"/>
    <ds:schemaRef ds:uri="http://schemas.microsoft.com/office/infopath/2007/PartnerControls"/>
    <ds:schemaRef ds:uri="d8c89053-2e45-404c-ac67-ea3cd3aded83"/>
  </ds:schemaRefs>
</ds:datastoreItem>
</file>

<file path=customXml/itemProps2.xml><?xml version="1.0" encoding="utf-8"?>
<ds:datastoreItem xmlns:ds="http://schemas.openxmlformats.org/officeDocument/2006/customXml" ds:itemID="{87DBB4BF-A17A-435E-BA6F-91FE5DE3A79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41436E2-598A-42D0-AD22-79F932019B7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5cff5d2-1d5e-4349-a624-b10d9b9f42fe"/>
    <ds:schemaRef ds:uri="d8c89053-2e45-404c-ac67-ea3cd3aded8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7831e6d9-dc6c-4cd1-9ec6-1dc2b4133195}" enabled="0" method="" siteId="{7831e6d9-dc6c-4cd1-9ec6-1dc2b4133195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540</Words>
  <Characters>3655</Characters>
  <Application>Microsoft Office Word</Application>
  <DocSecurity>0</DocSecurity>
  <Lines>70</Lines>
  <Paragraphs>29</Paragraphs>
  <ScaleCrop>false</ScaleCrop>
  <Company/>
  <LinksUpToDate>false</LinksUpToDate>
  <CharactersWithSpaces>4166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Vishak Gopinath</dc:creator>
  <cp:lastModifiedBy>Gerhard Hope</cp:lastModifiedBy>
  <cp:revision>3</cp:revision>
  <cp:lastPrinted>2025-10-12T03:21:00Z</cp:lastPrinted>
  <dcterms:created xsi:type="dcterms:W3CDTF">2026-05-13T09:08:00Z</dcterms:created>
  <dcterms:modified xsi:type="dcterms:W3CDTF">2026-05-13T09:08:00Z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0x0101004461FD49E6044D46B227D3FD70A7ADB7</vt:lpwstr>
  </property>
  <property fmtid="{D5CDD505-2E9C-101B-9397-08002B2CF9AE}" pid="3" name="MediaServiceImageTags">
    <vt:lpwstr>MediaServiceImageTags</vt:lpwstr>
  </property>
  <property fmtid="{D5CDD505-2E9C-101B-9397-08002B2CF9AE}" pid="4" name="GrammarlyDocumentId">
    <vt:lpwstr>e032e614-bf6d-4678-87f5-c9c373d0f992</vt:lpwstr>
  </property>
  <property fmtid="{D5CDD505-2E9C-101B-9397-08002B2CF9AE}" pid="5" name="ClassificationContentMarkingFooterShapeIds">
    <vt:lpwstr>5739d886,3a4a9f47,189e6258</vt:lpwstr>
  </property>
  <property fmtid="{D5CDD505-2E9C-101B-9397-08002B2CF9AE}" pid="6" name="ClassificationContentMarkingFooterFontProps">
    <vt:lpwstr>#000000,10,Calibri</vt:lpwstr>
  </property>
  <property fmtid="{D5CDD505-2E9C-101B-9397-08002B2CF9AE}" pid="7" name="ClassificationContentMarkingFooterText">
    <vt:lpwstr>Confidential - Not for Public Consumption or Distribution</vt:lpwstr>
  </property>
  <property fmtid="{D5CDD505-2E9C-101B-9397-08002B2CF9AE}" pid="8" name="MSIP_Label_8e19d756-792e-42a1-bcad-4cb9051ddd2d_Enabled">
    <vt:lpwstr>true</vt:lpwstr>
  </property>
  <property fmtid="{D5CDD505-2E9C-101B-9397-08002B2CF9AE}" pid="9" name="MSIP_Label_8e19d756-792e-42a1-bcad-4cb9051ddd2d_SetDate">
    <vt:lpwstr>2025-09-22T07:07:10Z</vt:lpwstr>
  </property>
  <property fmtid="{D5CDD505-2E9C-101B-9397-08002B2CF9AE}" pid="10" name="MSIP_Label_8e19d756-792e-42a1-bcad-4cb9051ddd2d_Method">
    <vt:lpwstr>Standard</vt:lpwstr>
  </property>
  <property fmtid="{D5CDD505-2E9C-101B-9397-08002B2CF9AE}" pid="11" name="MSIP_Label_8e19d756-792e-42a1-bcad-4cb9051ddd2d_Name">
    <vt:lpwstr>Confidential</vt:lpwstr>
  </property>
  <property fmtid="{D5CDD505-2E9C-101B-9397-08002B2CF9AE}" pid="12" name="MSIP_Label_8e19d756-792e-42a1-bcad-4cb9051ddd2d_SiteId">
    <vt:lpwstr>41eb501a-f671-4ce0-a5bf-b64168c3705f</vt:lpwstr>
  </property>
  <property fmtid="{D5CDD505-2E9C-101B-9397-08002B2CF9AE}" pid="13" name="MSIP_Label_8e19d756-792e-42a1-bcad-4cb9051ddd2d_ActionId">
    <vt:lpwstr>90edafe4-0718-4323-a8ec-81160e3d472c</vt:lpwstr>
  </property>
  <property fmtid="{D5CDD505-2E9C-101B-9397-08002B2CF9AE}" pid="14" name="MSIP_Label_8e19d756-792e-42a1-bcad-4cb9051ddd2d_ContentBits">
    <vt:lpwstr>2</vt:lpwstr>
  </property>
  <property fmtid="{D5CDD505-2E9C-101B-9397-08002B2CF9AE}" pid="15" name="MSIP_Label_8e19d756-792e-42a1-bcad-4cb9051ddd2d_Tag">
    <vt:lpwstr>10, 3, 0, 1</vt:lpwstr>
  </property>
  <property fmtid="{D5CDD505-2E9C-101B-9397-08002B2CF9AE}" pid="16" name="docLang">
    <vt:lpwstr>en</vt:lpwstr>
  </property>
</Properties>
</file>