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2443A2" w14:textId="4ADC9526" w:rsidR="00FC1DD8" w:rsidRPr="00337DF6" w:rsidRDefault="004D50C5" w:rsidP="00337DF6">
      <w:pPr>
        <w:tabs>
          <w:tab w:val="left" w:pos="709"/>
        </w:tabs>
        <w:rPr>
          <w:b/>
          <w:strike/>
          <w:sz w:val="28"/>
          <w:szCs w:val="28"/>
        </w:rPr>
      </w:pPr>
      <w:r w:rsidRPr="004D50C5">
        <w:rPr>
          <w:b/>
          <w:sz w:val="28"/>
          <w:szCs w:val="28"/>
        </w:rPr>
        <w:t>Digital substations</w:t>
      </w:r>
      <w:r>
        <w:rPr>
          <w:b/>
          <w:sz w:val="28"/>
          <w:szCs w:val="28"/>
        </w:rPr>
        <w:t xml:space="preserve"> p</w:t>
      </w:r>
      <w:r w:rsidRPr="004D50C5">
        <w:rPr>
          <w:b/>
          <w:sz w:val="28"/>
          <w:szCs w:val="28"/>
        </w:rPr>
        <w:t>ower Africa’s transition to a smarter, more resilient grid</w:t>
      </w:r>
    </w:p>
    <w:p w14:paraId="6A29D47E" w14:textId="77777777" w:rsidR="00FC1DD8" w:rsidRDefault="00FC1DD8" w:rsidP="00DB4F18"/>
    <w:p w14:paraId="73DB38FD" w14:textId="031BA28D" w:rsidR="00487BBA" w:rsidRPr="00487BBA" w:rsidRDefault="01547537" w:rsidP="00487BBA">
      <w:pPr>
        <w:tabs>
          <w:tab w:val="left" w:pos="709"/>
        </w:tabs>
        <w:rPr>
          <w:lang w:val="en-US"/>
        </w:rPr>
      </w:pPr>
      <w:r w:rsidRPr="01547537">
        <w:rPr>
          <w:b/>
          <w:bCs/>
          <w:lang w:val="en-US"/>
        </w:rPr>
        <w:t xml:space="preserve">Johannesburg, South Africa, </w:t>
      </w:r>
      <w:r w:rsidR="006A4B6F">
        <w:rPr>
          <w:b/>
          <w:bCs/>
          <w:lang w:val="en-US"/>
        </w:rPr>
        <w:t>07 May</w:t>
      </w:r>
      <w:r w:rsidR="002A314E">
        <w:rPr>
          <w:b/>
          <w:bCs/>
          <w:lang w:val="en-US"/>
        </w:rPr>
        <w:t xml:space="preserve"> </w:t>
      </w:r>
      <w:r w:rsidRPr="01547537">
        <w:rPr>
          <w:b/>
          <w:bCs/>
          <w:lang w:val="en-US"/>
        </w:rPr>
        <w:t xml:space="preserve">2026 </w:t>
      </w:r>
      <w:r w:rsidRPr="01547537">
        <w:rPr>
          <w:lang w:val="en-US"/>
        </w:rPr>
        <w:t>–</w:t>
      </w:r>
      <w:r w:rsidRPr="01547537">
        <w:rPr>
          <w:b/>
          <w:bCs/>
          <w:lang w:val="en-US"/>
        </w:rPr>
        <w:t xml:space="preserve"> </w:t>
      </w:r>
      <w:r w:rsidRPr="01547537">
        <w:rPr>
          <w:lang w:val="en-US"/>
        </w:rPr>
        <w:t>As Africa’s energy systems face mounting pressure from rapid urbanization, ageing infrastructure and the accelerating shift towards renewable energy, utilities are being challenged to do more with less and to do it faster. In this context, digital substations are emerging not as a future concept, but as a critical enabler of grid resilience and modernization.</w:t>
      </w:r>
    </w:p>
    <w:p w14:paraId="3C263753" w14:textId="77777777" w:rsidR="00487BBA" w:rsidRPr="00487BBA" w:rsidRDefault="00487BBA" w:rsidP="00487BBA">
      <w:pPr>
        <w:tabs>
          <w:tab w:val="left" w:pos="709"/>
        </w:tabs>
        <w:rPr>
          <w:lang w:val="en-US"/>
        </w:rPr>
      </w:pPr>
    </w:p>
    <w:p w14:paraId="53D37ADC" w14:textId="42CBE8F0" w:rsidR="00487BBA" w:rsidRPr="00487BBA" w:rsidRDefault="01547537" w:rsidP="00487BBA">
      <w:pPr>
        <w:tabs>
          <w:tab w:val="left" w:pos="709"/>
        </w:tabs>
        <w:rPr>
          <w:lang w:val="en-US"/>
        </w:rPr>
      </w:pPr>
      <w:r w:rsidRPr="01547537">
        <w:rPr>
          <w:lang w:val="en-US"/>
        </w:rPr>
        <w:t>Traditionally, substations have relied on extensive copper wiring, manual monitoring, and reactive maintenance. However, the demands of today’s energy landscape, characterized by decentralized generation, fluctuating loads and increasing electrification, require a fundamentally different approach. Digital substations represent that shift.</w:t>
      </w:r>
    </w:p>
    <w:p w14:paraId="731D1E70" w14:textId="77777777" w:rsidR="00487BBA" w:rsidRPr="00487BBA" w:rsidRDefault="00487BBA" w:rsidP="00487BBA">
      <w:pPr>
        <w:tabs>
          <w:tab w:val="left" w:pos="709"/>
        </w:tabs>
        <w:rPr>
          <w:lang w:val="en-US"/>
        </w:rPr>
      </w:pPr>
    </w:p>
    <w:p w14:paraId="231239D2" w14:textId="4754D386" w:rsidR="00487BBA" w:rsidRPr="00487BBA" w:rsidRDefault="00487BBA" w:rsidP="00487BBA">
      <w:pPr>
        <w:tabs>
          <w:tab w:val="left" w:pos="709"/>
        </w:tabs>
        <w:rPr>
          <w:b/>
          <w:bCs/>
          <w:lang w:val="en-US"/>
        </w:rPr>
      </w:pPr>
      <w:r w:rsidRPr="00487BBA">
        <w:rPr>
          <w:b/>
          <w:bCs/>
          <w:lang w:val="en-US"/>
        </w:rPr>
        <w:t>From infrastructure to intelligence</w:t>
      </w:r>
    </w:p>
    <w:p w14:paraId="0F50F469" w14:textId="77777777" w:rsidR="00487BBA" w:rsidRDefault="00487BBA" w:rsidP="00487BBA">
      <w:pPr>
        <w:tabs>
          <w:tab w:val="left" w:pos="709"/>
        </w:tabs>
        <w:rPr>
          <w:lang w:val="en-US"/>
        </w:rPr>
      </w:pPr>
      <w:r w:rsidRPr="00487BBA">
        <w:rPr>
          <w:lang w:val="en-US"/>
        </w:rPr>
        <w:t>At their core, digital substations replace conventional point-to-point copper connections with fibreoptic communication networks, enabling real-time data exchange across the grid. This transition allows utilities to move from static infrastructure to dynamic, data-driven systems that can respond instantly to changing conditions.</w:t>
      </w:r>
    </w:p>
    <w:p w14:paraId="04D45EDC" w14:textId="77777777" w:rsidR="00487BBA" w:rsidRDefault="00487BBA" w:rsidP="00487BBA">
      <w:pPr>
        <w:tabs>
          <w:tab w:val="left" w:pos="709"/>
        </w:tabs>
        <w:rPr>
          <w:lang w:val="en-US"/>
        </w:rPr>
      </w:pPr>
    </w:p>
    <w:p w14:paraId="16130661" w14:textId="2FBD1B7D" w:rsidR="00487BBA" w:rsidRPr="00487BBA" w:rsidRDefault="00487BBA" w:rsidP="00487BBA">
      <w:pPr>
        <w:tabs>
          <w:tab w:val="left" w:pos="709"/>
        </w:tabs>
        <w:rPr>
          <w:lang w:val="en-US"/>
        </w:rPr>
      </w:pPr>
      <w:r w:rsidRPr="00487BBA">
        <w:rPr>
          <w:lang w:val="en-US"/>
        </w:rPr>
        <w:t>By integrating advanced sensors, automation systems and cloud-enabled analytics, operators gain access to up-to-the-moment information, allowing for faster, more informed decision-making.</w:t>
      </w:r>
    </w:p>
    <w:p w14:paraId="72E882B0" w14:textId="77777777" w:rsidR="00487BBA" w:rsidRPr="00487BBA" w:rsidRDefault="00487BBA" w:rsidP="00487BBA">
      <w:pPr>
        <w:tabs>
          <w:tab w:val="left" w:pos="709"/>
        </w:tabs>
        <w:rPr>
          <w:lang w:val="en-US"/>
        </w:rPr>
      </w:pPr>
    </w:p>
    <w:p w14:paraId="5CEA96C4" w14:textId="77777777" w:rsidR="00487BBA" w:rsidRPr="00487BBA" w:rsidRDefault="00487BBA" w:rsidP="00487BBA">
      <w:pPr>
        <w:tabs>
          <w:tab w:val="left" w:pos="709"/>
        </w:tabs>
        <w:rPr>
          <w:lang w:val="en-US"/>
        </w:rPr>
      </w:pPr>
      <w:r w:rsidRPr="002F6D80">
        <w:rPr>
          <w:b/>
          <w:bCs/>
          <w:lang w:val="en-US"/>
        </w:rPr>
        <w:t>Mohamed Hosseiny</w:t>
      </w:r>
      <w:r w:rsidRPr="00487BBA">
        <w:rPr>
          <w:lang w:val="en-US"/>
        </w:rPr>
        <w:t>, Oversight Country Managing Director for Africa at Hitachi Energy, explains:</w:t>
      </w:r>
    </w:p>
    <w:p w14:paraId="2EA6CEB9" w14:textId="77777777" w:rsidR="00487BBA" w:rsidRPr="00487BBA" w:rsidRDefault="00487BBA" w:rsidP="00487BBA">
      <w:pPr>
        <w:tabs>
          <w:tab w:val="left" w:pos="709"/>
        </w:tabs>
        <w:rPr>
          <w:lang w:val="en-US"/>
        </w:rPr>
      </w:pPr>
      <w:r w:rsidRPr="00487BBA">
        <w:rPr>
          <w:lang w:val="en-US"/>
        </w:rPr>
        <w:t>“Digital substations fundamentally change how utilities see and manage their networks. Instead of reacting to faults after they occur, operators can anticipate issues, optimise performance and improve reliability in real time.”</w:t>
      </w:r>
    </w:p>
    <w:p w14:paraId="505549CD" w14:textId="77777777" w:rsidR="00487BBA" w:rsidRPr="00487BBA" w:rsidRDefault="00487BBA" w:rsidP="00487BBA">
      <w:pPr>
        <w:tabs>
          <w:tab w:val="left" w:pos="709"/>
        </w:tabs>
        <w:rPr>
          <w:lang w:val="en-US"/>
        </w:rPr>
      </w:pPr>
    </w:p>
    <w:p w14:paraId="72B366E3" w14:textId="30F25815" w:rsidR="00487BBA" w:rsidRPr="00487BBA" w:rsidRDefault="00487BBA" w:rsidP="00487BBA">
      <w:pPr>
        <w:tabs>
          <w:tab w:val="left" w:pos="709"/>
        </w:tabs>
        <w:rPr>
          <w:b/>
          <w:bCs/>
          <w:lang w:val="en-US"/>
        </w:rPr>
      </w:pPr>
      <w:r w:rsidRPr="00487BBA">
        <w:rPr>
          <w:b/>
          <w:bCs/>
          <w:lang w:val="en-US"/>
        </w:rPr>
        <w:t>Enabling renewable integration and grid stability</w:t>
      </w:r>
    </w:p>
    <w:p w14:paraId="677F0447" w14:textId="77777777" w:rsidR="00487BBA" w:rsidRPr="00487BBA" w:rsidRDefault="00487BBA" w:rsidP="00487BBA">
      <w:pPr>
        <w:tabs>
          <w:tab w:val="left" w:pos="709"/>
        </w:tabs>
        <w:rPr>
          <w:lang w:val="en-US"/>
        </w:rPr>
      </w:pPr>
      <w:r w:rsidRPr="00487BBA">
        <w:rPr>
          <w:lang w:val="en-US"/>
        </w:rPr>
        <w:t>One of the most pressing challenges facing African utilities is the integration of renewable energy sources. While solar and wind offer significant opportunities, their intermittent nature introduces volatility into the grid.</w:t>
      </w:r>
    </w:p>
    <w:p w14:paraId="0ED414B4" w14:textId="77777777" w:rsidR="00487BBA" w:rsidRPr="00487BBA" w:rsidRDefault="00487BBA" w:rsidP="00487BBA">
      <w:pPr>
        <w:tabs>
          <w:tab w:val="left" w:pos="709"/>
        </w:tabs>
        <w:rPr>
          <w:lang w:val="en-US"/>
        </w:rPr>
      </w:pPr>
    </w:p>
    <w:p w14:paraId="792AE8FF" w14:textId="0F0E5089" w:rsidR="00487BBA" w:rsidRPr="00487BBA" w:rsidRDefault="01547537" w:rsidP="00487BBA">
      <w:pPr>
        <w:tabs>
          <w:tab w:val="left" w:pos="709"/>
        </w:tabs>
        <w:rPr>
          <w:lang w:val="en-US"/>
        </w:rPr>
      </w:pPr>
      <w:r w:rsidRPr="01547537">
        <w:rPr>
          <w:lang w:val="en-US"/>
        </w:rPr>
        <w:t>Digital substations play a crucial role in managing this complexity. By improving data quality and reducing decision-making time during disturbances, they enable utilities to maintain stability even as energy inputs fluctuate.</w:t>
      </w:r>
    </w:p>
    <w:p w14:paraId="7E3973E5" w14:textId="77777777" w:rsidR="00487BBA" w:rsidRPr="00487BBA" w:rsidRDefault="00487BBA" w:rsidP="00487BBA">
      <w:pPr>
        <w:tabs>
          <w:tab w:val="left" w:pos="709"/>
        </w:tabs>
        <w:rPr>
          <w:lang w:val="en-US"/>
        </w:rPr>
      </w:pPr>
    </w:p>
    <w:p w14:paraId="7D2022BB" w14:textId="50D35461" w:rsidR="00487BBA" w:rsidRPr="00487BBA" w:rsidRDefault="00487BBA" w:rsidP="00487BBA">
      <w:pPr>
        <w:tabs>
          <w:tab w:val="left" w:pos="709"/>
        </w:tabs>
        <w:rPr>
          <w:lang w:val="en-US"/>
        </w:rPr>
      </w:pPr>
      <w:r w:rsidRPr="00487BBA">
        <w:rPr>
          <w:lang w:val="en-US"/>
        </w:rPr>
        <w:t>“The energy transition is not just about adding renewables,” says Hosseiny. “It</w:t>
      </w:r>
      <w:r>
        <w:rPr>
          <w:lang w:val="en-US"/>
        </w:rPr>
        <w:t xml:space="preserve"> i</w:t>
      </w:r>
      <w:r w:rsidRPr="00487BBA">
        <w:rPr>
          <w:lang w:val="en-US"/>
        </w:rPr>
        <w:t>s about ensuring the grid can handle that transition. Digital substations provide the visibility and control needed to balance supply and demand in increasingly complex systems.”</w:t>
      </w:r>
    </w:p>
    <w:p w14:paraId="54E15A97" w14:textId="77777777" w:rsidR="00487BBA" w:rsidRPr="00487BBA" w:rsidRDefault="00487BBA" w:rsidP="00487BBA">
      <w:pPr>
        <w:tabs>
          <w:tab w:val="left" w:pos="709"/>
        </w:tabs>
        <w:rPr>
          <w:lang w:val="en-US"/>
        </w:rPr>
      </w:pPr>
    </w:p>
    <w:p w14:paraId="67882350" w14:textId="5658F2FD" w:rsidR="00487BBA" w:rsidRPr="00487BBA" w:rsidRDefault="00487BBA" w:rsidP="00487BBA">
      <w:pPr>
        <w:tabs>
          <w:tab w:val="left" w:pos="709"/>
        </w:tabs>
        <w:rPr>
          <w:b/>
          <w:bCs/>
          <w:lang w:val="en-US"/>
        </w:rPr>
      </w:pPr>
      <w:r w:rsidRPr="00487BBA">
        <w:rPr>
          <w:b/>
          <w:bCs/>
          <w:lang w:val="en-US"/>
        </w:rPr>
        <w:t>Driving efficiency, safety and cost savings</w:t>
      </w:r>
    </w:p>
    <w:p w14:paraId="6CBFAF2B" w14:textId="6C532F3A" w:rsidR="00487BBA" w:rsidRPr="00487BBA" w:rsidRDefault="00487BBA" w:rsidP="00487BBA">
      <w:pPr>
        <w:tabs>
          <w:tab w:val="left" w:pos="709"/>
        </w:tabs>
        <w:rPr>
          <w:lang w:val="en-US"/>
        </w:rPr>
      </w:pPr>
      <w:r w:rsidRPr="00487BBA">
        <w:rPr>
          <w:lang w:val="en-US"/>
        </w:rPr>
        <w:t>Beyond performance improvements, digital substations deliver tangible operational benefits. The reduction in physical cabling significantly lowers installation and maintenance costs, while also decreasing the overall footprint of substations</w:t>
      </w:r>
      <w:r>
        <w:rPr>
          <w:lang w:val="en-US"/>
        </w:rPr>
        <w:t>,</w:t>
      </w:r>
      <w:r w:rsidRPr="00487BBA">
        <w:rPr>
          <w:lang w:val="en-US"/>
        </w:rPr>
        <w:t xml:space="preserve"> a critical advantage in space-constrained urban environments.</w:t>
      </w:r>
    </w:p>
    <w:p w14:paraId="10AFEF2C" w14:textId="77777777" w:rsidR="00487BBA" w:rsidRPr="00487BBA" w:rsidRDefault="00487BBA" w:rsidP="00487BBA">
      <w:pPr>
        <w:tabs>
          <w:tab w:val="left" w:pos="709"/>
        </w:tabs>
        <w:rPr>
          <w:lang w:val="en-US"/>
        </w:rPr>
      </w:pPr>
    </w:p>
    <w:p w14:paraId="487729D9" w14:textId="77777777" w:rsidR="00487BBA" w:rsidRPr="00487BBA" w:rsidRDefault="00487BBA" w:rsidP="00487BBA">
      <w:pPr>
        <w:tabs>
          <w:tab w:val="left" w:pos="709"/>
        </w:tabs>
        <w:rPr>
          <w:lang w:val="en-US"/>
        </w:rPr>
      </w:pPr>
      <w:r w:rsidRPr="00487BBA">
        <w:rPr>
          <w:lang w:val="en-US"/>
        </w:rPr>
        <w:t>Safety is also enhanced. By removing traditional electrical connections between high-voltage equipment and control systems, digital substations reduce the risk of electrical hazards for personnel.</w:t>
      </w:r>
    </w:p>
    <w:p w14:paraId="1E8D52E2" w14:textId="77777777" w:rsidR="00487BBA" w:rsidRPr="00487BBA" w:rsidRDefault="00487BBA" w:rsidP="00487BBA">
      <w:pPr>
        <w:tabs>
          <w:tab w:val="left" w:pos="709"/>
        </w:tabs>
        <w:rPr>
          <w:lang w:val="en-US"/>
        </w:rPr>
      </w:pPr>
    </w:p>
    <w:p w14:paraId="2EB174E8" w14:textId="41605E71" w:rsidR="00487BBA" w:rsidRPr="00487BBA" w:rsidRDefault="01547537" w:rsidP="00487BBA">
      <w:pPr>
        <w:tabs>
          <w:tab w:val="left" w:pos="709"/>
        </w:tabs>
        <w:rPr>
          <w:lang w:val="en-US"/>
        </w:rPr>
      </w:pPr>
      <w:r w:rsidRPr="01547537">
        <w:rPr>
          <w:lang w:val="en-US"/>
        </w:rPr>
        <w:t>In addition, continuous monitoring and predictive maintenance capabilities help utilities reduce downtime, extend asset lifecycles, and improve service reliability.</w:t>
      </w:r>
    </w:p>
    <w:p w14:paraId="68DEA2B9" w14:textId="77777777" w:rsidR="00487BBA" w:rsidRPr="00487BBA" w:rsidRDefault="00487BBA" w:rsidP="00487BBA">
      <w:pPr>
        <w:tabs>
          <w:tab w:val="left" w:pos="709"/>
        </w:tabs>
        <w:rPr>
          <w:lang w:val="en-US"/>
        </w:rPr>
      </w:pPr>
    </w:p>
    <w:p w14:paraId="4015871F" w14:textId="77777777" w:rsidR="00487BBA" w:rsidRPr="00487BBA" w:rsidRDefault="00487BBA" w:rsidP="00487BBA">
      <w:pPr>
        <w:tabs>
          <w:tab w:val="left" w:pos="709"/>
        </w:tabs>
        <w:rPr>
          <w:b/>
          <w:bCs/>
          <w:lang w:val="en-US"/>
        </w:rPr>
      </w:pPr>
      <w:r w:rsidRPr="00487BBA">
        <w:rPr>
          <w:b/>
          <w:bCs/>
          <w:lang w:val="en-US"/>
        </w:rPr>
        <w:t>A leap forward for Africa’s infrastructure</w:t>
      </w:r>
    </w:p>
    <w:p w14:paraId="14ED8A07" w14:textId="77777777" w:rsidR="00487BBA" w:rsidRPr="00487BBA" w:rsidRDefault="00487BBA" w:rsidP="00487BBA">
      <w:pPr>
        <w:tabs>
          <w:tab w:val="left" w:pos="709"/>
        </w:tabs>
        <w:rPr>
          <w:lang w:val="en-US"/>
        </w:rPr>
      </w:pPr>
    </w:p>
    <w:p w14:paraId="77D4F93E" w14:textId="77777777" w:rsidR="00487BBA" w:rsidRPr="00487BBA" w:rsidRDefault="00487BBA" w:rsidP="00487BBA">
      <w:pPr>
        <w:tabs>
          <w:tab w:val="left" w:pos="709"/>
        </w:tabs>
        <w:rPr>
          <w:lang w:val="en-US"/>
        </w:rPr>
      </w:pPr>
      <w:r w:rsidRPr="00487BBA">
        <w:rPr>
          <w:lang w:val="en-US"/>
        </w:rPr>
        <w:t>For many African countries, the transition to digital substations presents an opportunity to leapfrog legacy infrastructure and adopt future-ready systems from the outset.</w:t>
      </w:r>
    </w:p>
    <w:p w14:paraId="406AC366" w14:textId="77777777" w:rsidR="00487BBA" w:rsidRPr="00487BBA" w:rsidRDefault="00487BBA" w:rsidP="00487BBA">
      <w:pPr>
        <w:tabs>
          <w:tab w:val="left" w:pos="709"/>
        </w:tabs>
        <w:rPr>
          <w:lang w:val="en-US"/>
        </w:rPr>
      </w:pPr>
    </w:p>
    <w:p w14:paraId="5AD6EDE7" w14:textId="77777777" w:rsidR="00487BBA" w:rsidRPr="00487BBA" w:rsidRDefault="00487BBA" w:rsidP="00487BBA">
      <w:pPr>
        <w:tabs>
          <w:tab w:val="left" w:pos="709"/>
        </w:tabs>
        <w:rPr>
          <w:lang w:val="en-US"/>
        </w:rPr>
      </w:pPr>
      <w:r w:rsidRPr="00487BBA">
        <w:rPr>
          <w:lang w:val="en-US"/>
        </w:rPr>
        <w:t>With more than 20 years of substation communication experience and hundreds of thousands of deployed control and protection systems globally, Hitachi Energy brings both the expertise and the proven technology needed to support this transformation.</w:t>
      </w:r>
    </w:p>
    <w:p w14:paraId="0271AC8F" w14:textId="77777777" w:rsidR="00487BBA" w:rsidRPr="00487BBA" w:rsidRDefault="00487BBA" w:rsidP="00487BBA">
      <w:pPr>
        <w:tabs>
          <w:tab w:val="left" w:pos="709"/>
        </w:tabs>
        <w:rPr>
          <w:lang w:val="en-US"/>
        </w:rPr>
      </w:pPr>
    </w:p>
    <w:p w14:paraId="5DF5A42B" w14:textId="36AB7E82" w:rsidR="00487BBA" w:rsidRPr="00487BBA" w:rsidRDefault="00487BBA" w:rsidP="00487BBA">
      <w:pPr>
        <w:tabs>
          <w:tab w:val="left" w:pos="709"/>
        </w:tabs>
        <w:rPr>
          <w:lang w:val="en-US"/>
        </w:rPr>
      </w:pPr>
      <w:r w:rsidRPr="00487BBA">
        <w:rPr>
          <w:lang w:val="en-US"/>
        </w:rPr>
        <w:t xml:space="preserve">“Africa has a unique opportunity to build smarter grids from the ground up,” </w:t>
      </w:r>
      <w:r>
        <w:rPr>
          <w:lang w:val="en-US"/>
        </w:rPr>
        <w:t xml:space="preserve">notes </w:t>
      </w:r>
      <w:r w:rsidRPr="00487BBA">
        <w:rPr>
          <w:lang w:val="en-US"/>
        </w:rPr>
        <w:t>Hosseiny. “Digital substations are not just an upgrade – they are a foundation for long-term energy security, sustainability and economic growth.”</w:t>
      </w:r>
    </w:p>
    <w:p w14:paraId="33A7E4A2" w14:textId="77777777" w:rsidR="00487BBA" w:rsidRPr="00487BBA" w:rsidRDefault="00487BBA" w:rsidP="00487BBA">
      <w:pPr>
        <w:tabs>
          <w:tab w:val="left" w:pos="709"/>
        </w:tabs>
        <w:rPr>
          <w:lang w:val="en-US"/>
        </w:rPr>
      </w:pPr>
    </w:p>
    <w:p w14:paraId="18142147" w14:textId="6C211F56" w:rsidR="00487BBA" w:rsidRPr="00487BBA" w:rsidRDefault="00487BBA" w:rsidP="00487BBA">
      <w:pPr>
        <w:tabs>
          <w:tab w:val="left" w:pos="709"/>
        </w:tabs>
        <w:rPr>
          <w:b/>
          <w:bCs/>
          <w:lang w:val="en-US"/>
        </w:rPr>
      </w:pPr>
      <w:r w:rsidRPr="00487BBA">
        <w:rPr>
          <w:b/>
          <w:bCs/>
          <w:lang w:val="en-US"/>
        </w:rPr>
        <w:t>Building the grid of the future</w:t>
      </w:r>
    </w:p>
    <w:p w14:paraId="574D6354" w14:textId="77777777" w:rsidR="00487BBA" w:rsidRPr="00487BBA" w:rsidRDefault="00487BBA" w:rsidP="00487BBA">
      <w:pPr>
        <w:tabs>
          <w:tab w:val="left" w:pos="709"/>
        </w:tabs>
        <w:rPr>
          <w:lang w:val="en-US"/>
        </w:rPr>
      </w:pPr>
      <w:r w:rsidRPr="00487BBA">
        <w:rPr>
          <w:lang w:val="en-US"/>
        </w:rPr>
        <w:t>As utilities across the continent navigate the dual pressures of expanding access and improving reliability, the need for intelligent, adaptable infrastructure has never been greater.</w:t>
      </w:r>
    </w:p>
    <w:p w14:paraId="4EE872BE" w14:textId="77777777" w:rsidR="00487BBA" w:rsidRPr="00487BBA" w:rsidRDefault="00487BBA" w:rsidP="00487BBA">
      <w:pPr>
        <w:tabs>
          <w:tab w:val="left" w:pos="709"/>
        </w:tabs>
        <w:rPr>
          <w:lang w:val="en-US"/>
        </w:rPr>
      </w:pPr>
    </w:p>
    <w:p w14:paraId="32453E31" w14:textId="23F59C81" w:rsidR="00FC1DD8" w:rsidRPr="00CC0050" w:rsidRDefault="00487BBA" w:rsidP="00487BBA">
      <w:pPr>
        <w:tabs>
          <w:tab w:val="left" w:pos="709"/>
        </w:tabs>
        <w:rPr>
          <w:lang w:val="en-US"/>
        </w:rPr>
      </w:pPr>
      <w:r w:rsidRPr="00487BBA">
        <w:rPr>
          <w:lang w:val="en-US"/>
        </w:rPr>
        <w:t>Digital substations offer a clear path forward</w:t>
      </w:r>
      <w:r>
        <w:rPr>
          <w:lang w:val="en-US"/>
        </w:rPr>
        <w:t>,</w:t>
      </w:r>
      <w:r w:rsidRPr="00487BBA">
        <w:rPr>
          <w:lang w:val="en-US"/>
        </w:rPr>
        <w:t xml:space="preserve"> enabling utilities to move beyond traditional limitations and build grids that are not only more resilient, but also ready for the demands of a rapidly evolving energy future.</w:t>
      </w:r>
    </w:p>
    <w:p w14:paraId="2E31F0F3" w14:textId="380361C8" w:rsidR="0073464B" w:rsidRDefault="0073464B">
      <w:pPr>
        <w:rPr>
          <w:sz w:val="18"/>
          <w:szCs w:val="18"/>
        </w:rPr>
      </w:pPr>
      <w:hyperlink r:id="rId10" w:history="1">
        <w:r>
          <w:rPr>
            <w:rStyle w:val="Hyperlink"/>
          </w:rPr>
          <w:t>https://www.hitachienergy.com/</w:t>
        </w:r>
      </w:hyperlink>
      <w:hyperlink r:id="rId11" w:history="1">
        <w:r>
          <w:rPr>
            <w:rStyle w:val="Hyperlink"/>
          </w:rPr>
          <w:t>https://www.linkedin.com/company/hitachienergy/posts/?feedView=all</w:t>
        </w:r>
      </w:hyperlink>
      <w:hyperlink r:id="rId12" w:history="1">
        <w:r>
          <w:rPr>
            <w:rStyle w:val="Hyperlink"/>
          </w:rPr>
          <w:t>https://x.com/HitachiEnergy</w:t>
        </w:r>
      </w:hyperlink>
      <w:hyperlink r:id="rId13" w:history="1">
        <w:r>
          <w:rPr>
            <w:rStyle w:val="Hyperlink"/>
          </w:rPr>
          <w:t>https://www.hitachi.com/en/</w:t>
        </w:r>
      </w:hyperlink>
      <w:hyperlink r:id="rId14" w:history="1">
        <w:r>
          <w:rPr>
            <w:rStyle w:val="Hyperlink"/>
          </w:rPr>
          <w:t>mailto:media.relations@hitachienergy.com</w:t>
        </w:r>
      </w:hyperlink>
    </w:p>
    <w:sectPr w:rsidR="0073464B" w:rsidSect="00425F5D">
      <w:headerReference w:type="default" r:id="rId15"/>
      <w:footerReference w:type="even" r:id="rId16"/>
      <w:footerReference w:type="default" r:id="rId17"/>
      <w:headerReference w:type="first" r:id="rId18"/>
      <w:footerReference w:type="first" r:id="rId19"/>
      <w:pgSz w:w="11901" w:h="16834"/>
      <w:pgMar w:top="822" w:right="822" w:bottom="1170" w:left="822" w:header="454" w:footer="61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3E4F19" w14:textId="77777777" w:rsidR="00B94246" w:rsidRDefault="00B94246">
      <w:pPr>
        <w:spacing w:line="240" w:lineRule="auto"/>
      </w:pPr>
      <w:r>
        <w:separator/>
      </w:r>
    </w:p>
  </w:endnote>
  <w:endnote w:type="continuationSeparator" w:id="0">
    <w:p w14:paraId="5DE6CFD4" w14:textId="77777777" w:rsidR="00B94246" w:rsidRDefault="00B942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itachi Sans">
    <w:altName w:val="Calibri"/>
    <w:panose1 w:val="00000000000000000000"/>
    <w:charset w:val="00"/>
    <w:family w:val="modern"/>
    <w:notTrueType/>
    <w:pitch w:val="variable"/>
    <w:sig w:usb0="A00000EF" w:usb1="4000A07B" w:usb2="00000000" w:usb3="00000000" w:csb0="00000093" w:csb1="00000000"/>
  </w:font>
  <w:font w:name="Calibri">
    <w:panose1 w:val="020F0502020204030204"/>
    <w:charset w:val="00"/>
    <w:family w:val="swiss"/>
    <w:pitch w:val="variable"/>
    <w:sig w:usb0="E4002EFF" w:usb1="C200247B" w:usb2="00000009" w:usb3="00000000" w:csb0="000001FF" w:csb1="00000000"/>
    <w:embedRegular r:id="rId1" w:fontKey="{30A3D592-C876-4A59-87B5-31936200AA3C}"/>
  </w:font>
  <w:font w:name="Cambria">
    <w:panose1 w:val="02040503050406030204"/>
    <w:charset w:val="00"/>
    <w:family w:val="roman"/>
    <w:pitch w:val="variable"/>
    <w:sig w:usb0="E00006FF" w:usb1="420024FF" w:usb2="02000000" w:usb3="00000000" w:csb0="0000019F" w:csb1="00000000"/>
    <w:embedRegular r:id="rId2" w:fontKey="{16DD6EC4-FA8E-4685-8B35-C1D0627F17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3DDAF" w14:textId="77777777" w:rsidR="00FC1DD8" w:rsidRDefault="004352E6">
    <w:pPr>
      <w:pBdr>
        <w:top w:val="nil"/>
        <w:left w:val="nil"/>
        <w:bottom w:val="nil"/>
        <w:right w:val="nil"/>
        <w:between w:val="nil"/>
      </w:pBdr>
      <w:tabs>
        <w:tab w:val="center" w:pos="4513"/>
        <w:tab w:val="right" w:pos="9026"/>
      </w:tabs>
      <w:spacing w:line="259" w:lineRule="auto"/>
      <w:rPr>
        <w:b/>
        <w:color w:val="000000"/>
        <w:sz w:val="18"/>
        <w:szCs w:val="18"/>
      </w:rPr>
    </w:pPr>
    <w:r>
      <w:rPr>
        <w:noProof/>
      </w:rPr>
      <mc:AlternateContent>
        <mc:Choice Requires="wps">
          <w:drawing>
            <wp:anchor distT="0" distB="0" distL="0" distR="0" simplePos="0" relativeHeight="251658242" behindDoc="0" locked="0" layoutInCell="1" hidden="0" allowOverlap="1" wp14:anchorId="7CF59F80" wp14:editId="75F4FBAA">
              <wp:simplePos x="0" y="0"/>
              <wp:positionH relativeFrom="column">
                <wp:posOffset>1267460</wp:posOffset>
              </wp:positionH>
              <wp:positionV relativeFrom="paragraph">
                <wp:posOffset>-4761</wp:posOffset>
              </wp:positionV>
              <wp:extent cx="2934335" cy="362585"/>
              <wp:effectExtent l="0" t="0" r="0" b="0"/>
              <wp:wrapNone/>
              <wp:docPr id="3" name="Rectangle 3" descr="Confidential - Not for Public Consumption or Distribution"/>
              <wp:cNvGraphicFramePr/>
              <a:graphic xmlns:a="http://schemas.openxmlformats.org/drawingml/2006/main">
                <a:graphicData uri="http://schemas.microsoft.com/office/word/2010/wordprocessingShape">
                  <wps:wsp>
                    <wps:cNvSpPr/>
                    <wps:spPr>
                      <a:xfrm>
                        <a:off x="3883595" y="3603470"/>
                        <a:ext cx="2924810" cy="353060"/>
                      </a:xfrm>
                      <a:prstGeom prst="rect">
                        <a:avLst/>
                      </a:prstGeom>
                      <a:noFill/>
                      <a:ln>
                        <a:noFill/>
                      </a:ln>
                    </wps:spPr>
                    <wps:txbx>
                      <w:txbxContent>
                        <w:p w14:paraId="64726D47" w14:textId="77777777" w:rsidR="00FC1DD8" w:rsidRDefault="004352E6">
                          <w:pPr>
                            <w:spacing w:line="251" w:lineRule="auto"/>
                            <w:textDirection w:val="btLr"/>
                          </w:pPr>
                          <w:r>
                            <w:rPr>
                              <w:rFonts w:ascii="Calibri" w:eastAsia="Calibri" w:hAnsi="Calibri" w:cs="Calibri"/>
                              <w:color w:val="000000"/>
                              <w:sz w:val="20"/>
                            </w:rPr>
                            <w:t>Confidential - Not for Public Consumption or Distribution</w:t>
                          </w:r>
                        </w:p>
                      </w:txbxContent>
                    </wps:txbx>
                    <wps:bodyPr spcFirstLastPara="1" wrap="square" lIns="0" tIns="0" rIns="0" bIns="190500" anchor="b" anchorCtr="0">
                      <a:noAutofit/>
                    </wps:bodyPr>
                  </wps:wsp>
                </a:graphicData>
              </a:graphic>
            </wp:anchor>
          </w:drawing>
        </mc:Choice>
        <mc:Fallback>
          <w:pict>
            <v:rect w14:anchorId="7CF59F80" id="Rectangle 3" o:spid="_x0000_s1026" alt="Confidential - Not for Public Consumption or Distribution" style="position:absolute;margin-left:99.8pt;margin-top:-.35pt;width:231.05pt;height:28.55pt;z-index:25165824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" filled="f" stroked="f">
              <v:textbox inset="0,0,0,15pt">
                <w:txbxContent>
                  <w:p w14:paraId="64726D47" w14:textId="77777777" w:rsidR="00FC1DD8" w:rsidRDefault="004352E6">
                    <w:pPr>
                      <w:spacing w:line="251" w:lineRule="auto"/>
                      <w:textDirection w:val="btLr"/>
                    </w:pPr>
                    <w:r>
                      <w:rPr>
                        <w:rFonts w:ascii="Calibri" w:eastAsia="Calibri" w:hAnsi="Calibri" w:cs="Calibri"/>
                        <w:color w:val="000000"/>
                        <w:sz w:val="20"/>
                      </w:rPr>
                      <w:t>Confidential - Not for Public Consumption or Distribution</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2D45F" w14:textId="2A5A12AD" w:rsidR="00FC1DD8" w:rsidRDefault="00FC1DD8">
    <w:pPr>
      <w:pBdr>
        <w:top w:val="nil"/>
        <w:left w:val="nil"/>
        <w:bottom w:val="nil"/>
        <w:right w:val="nil"/>
        <w:between w:val="nil"/>
      </w:pBdr>
      <w:tabs>
        <w:tab w:val="center" w:pos="4513"/>
        <w:tab w:val="right" w:pos="9026"/>
        <w:tab w:val="left" w:pos="582"/>
        <w:tab w:val="right" w:pos="10257"/>
      </w:tabs>
      <w:spacing w:line="259" w:lineRule="auto"/>
      <w:rPr>
        <w:b/>
        <w:color w:val="0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317DD" w14:textId="686AD935" w:rsidR="00FC1DD8" w:rsidRPr="001B6915" w:rsidRDefault="00FC1DD8" w:rsidP="001B6915">
    <w:pPr>
      <w:widowControl w:val="0"/>
      <w:tabs>
        <w:tab w:val="left" w:pos="1306"/>
      </w:tabs>
      <w:ind w:right="-20"/>
      <w:jc w:val="both"/>
      <w:rPr>
        <w:b/>
        <w:color w:val="000000" w:themeColor="text1"/>
        <w:sz w:val="18"/>
        <w:szCs w:val="18"/>
        <w:lang w:val="en-Z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86593B" w14:textId="77777777" w:rsidR="00B94246" w:rsidRDefault="00B94246">
      <w:pPr>
        <w:spacing w:line="240" w:lineRule="auto"/>
      </w:pPr>
      <w:r>
        <w:separator/>
      </w:r>
    </w:p>
  </w:footnote>
  <w:footnote w:type="continuationSeparator" w:id="0">
    <w:p w14:paraId="6DA8FA83" w14:textId="77777777" w:rsidR="00B94246" w:rsidRDefault="00B9424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15BB5" w14:textId="77777777" w:rsidR="00FC1DD8" w:rsidRDefault="00FC1DD8">
    <w:pPr>
      <w:widowControl w:val="0"/>
      <w:pBdr>
        <w:top w:val="nil"/>
        <w:left w:val="nil"/>
        <w:bottom w:val="nil"/>
        <w:right w:val="nil"/>
        <w:between w:val="nil"/>
      </w:pBdr>
      <w:spacing w:line="276" w:lineRule="auto"/>
      <w:rPr>
        <w:color w:val="000000"/>
        <w:sz w:val="18"/>
        <w:szCs w:val="18"/>
      </w:rPr>
    </w:pPr>
  </w:p>
  <w:tbl>
    <w:tblPr>
      <w:tblStyle w:val="2"/>
      <w:tblW w:w="10245" w:type="dxa"/>
      <w:tblInd w:w="0" w:type="dxa"/>
      <w:tblLayout w:type="fixed"/>
      <w:tblLook w:val="0600" w:firstRow="0" w:lastRow="0" w:firstColumn="0" w:lastColumn="0" w:noHBand="1" w:noVBand="1"/>
    </w:tblPr>
    <w:tblGrid>
      <w:gridCol w:w="3415"/>
      <w:gridCol w:w="3415"/>
      <w:gridCol w:w="3415"/>
    </w:tblGrid>
    <w:tr w:rsidR="00FC1DD8" w14:paraId="00CFD9B0" w14:textId="77777777">
      <w:trPr>
        <w:trHeight w:val="300"/>
      </w:trPr>
      <w:tc>
        <w:tcPr>
          <w:tcW w:w="3415" w:type="dxa"/>
        </w:tcPr>
        <w:p w14:paraId="48982165" w14:textId="77777777" w:rsidR="00FC1DD8" w:rsidRDefault="00FC1DD8">
          <w:pPr>
            <w:pBdr>
              <w:top w:val="nil"/>
              <w:left w:val="nil"/>
              <w:bottom w:val="nil"/>
              <w:right w:val="nil"/>
              <w:between w:val="nil"/>
            </w:pBdr>
            <w:tabs>
              <w:tab w:val="center" w:pos="4513"/>
              <w:tab w:val="right" w:pos="9026"/>
            </w:tabs>
            <w:spacing w:line="240" w:lineRule="auto"/>
            <w:ind w:left="-115"/>
            <w:rPr>
              <w:color w:val="000000"/>
              <w:sz w:val="16"/>
              <w:szCs w:val="16"/>
            </w:rPr>
          </w:pPr>
        </w:p>
      </w:tc>
      <w:tc>
        <w:tcPr>
          <w:tcW w:w="3415" w:type="dxa"/>
        </w:tcPr>
        <w:p w14:paraId="0F45F616" w14:textId="77777777" w:rsidR="00FC1DD8" w:rsidRDefault="00FC1DD8">
          <w:pPr>
            <w:pBdr>
              <w:top w:val="nil"/>
              <w:left w:val="nil"/>
              <w:bottom w:val="nil"/>
              <w:right w:val="nil"/>
              <w:between w:val="nil"/>
            </w:pBdr>
            <w:tabs>
              <w:tab w:val="center" w:pos="4513"/>
              <w:tab w:val="right" w:pos="9026"/>
            </w:tabs>
            <w:spacing w:line="240" w:lineRule="auto"/>
            <w:jc w:val="center"/>
            <w:rPr>
              <w:color w:val="000000"/>
              <w:sz w:val="16"/>
              <w:szCs w:val="16"/>
            </w:rPr>
          </w:pPr>
        </w:p>
      </w:tc>
      <w:tc>
        <w:tcPr>
          <w:tcW w:w="3415" w:type="dxa"/>
        </w:tcPr>
        <w:p w14:paraId="09FE6E08" w14:textId="77777777" w:rsidR="00FC1DD8" w:rsidRDefault="00FC1DD8">
          <w:pPr>
            <w:pBdr>
              <w:top w:val="nil"/>
              <w:left w:val="nil"/>
              <w:bottom w:val="nil"/>
              <w:right w:val="nil"/>
              <w:between w:val="nil"/>
            </w:pBdr>
            <w:tabs>
              <w:tab w:val="center" w:pos="4513"/>
              <w:tab w:val="right" w:pos="9026"/>
            </w:tabs>
            <w:spacing w:line="240" w:lineRule="auto"/>
            <w:ind w:right="-115"/>
            <w:jc w:val="right"/>
            <w:rPr>
              <w:color w:val="000000"/>
              <w:sz w:val="16"/>
              <w:szCs w:val="16"/>
            </w:rPr>
          </w:pPr>
        </w:p>
      </w:tc>
    </w:tr>
  </w:tbl>
  <w:p w14:paraId="40DEF1EE" w14:textId="77777777" w:rsidR="00FC1DD8" w:rsidRDefault="00FC1DD8">
    <w:pPr>
      <w:pBdr>
        <w:top w:val="nil"/>
        <w:left w:val="nil"/>
        <w:bottom w:val="nil"/>
        <w:right w:val="nil"/>
        <w:between w:val="nil"/>
      </w:pBdr>
      <w:tabs>
        <w:tab w:val="center" w:pos="4513"/>
        <w:tab w:val="right" w:pos="9026"/>
      </w:tabs>
      <w:spacing w:line="240" w:lineRule="auto"/>
      <w:rPr>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EC58A" w14:textId="77777777" w:rsidR="00FC1DD8" w:rsidRDefault="00FC1DD8">
    <w:pPr>
      <w:widowControl w:val="0"/>
      <w:pBdr>
        <w:top w:val="nil"/>
        <w:left w:val="nil"/>
        <w:bottom w:val="nil"/>
        <w:right w:val="nil"/>
        <w:between w:val="nil"/>
      </w:pBdr>
      <w:spacing w:line="276" w:lineRule="auto"/>
      <w:rPr>
        <w:color w:val="000000"/>
        <w:sz w:val="16"/>
        <w:szCs w:val="16"/>
      </w:rPr>
    </w:pPr>
  </w:p>
  <w:tbl>
    <w:tblPr>
      <w:tblStyle w:val="1"/>
      <w:tblpPr w:leftFromText="181" w:rightFromText="5670" w:bottomFromText="397" w:vertAnchor="page" w:horzAnchor="page" w:tblpY="710"/>
      <w:tblW w:w="566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669"/>
    </w:tblGrid>
    <w:tr w:rsidR="00FC1DD8" w14:paraId="480C616A" w14:textId="77777777">
      <w:trPr>
        <w:trHeight w:val="850"/>
      </w:trPr>
      <w:tc>
        <w:tcPr>
          <w:tcW w:w="5669" w:type="dxa"/>
        </w:tcPr>
        <w:p w14:paraId="151D23EA" w14:textId="77777777" w:rsidR="00FC1DD8" w:rsidRDefault="004352E6" w:rsidP="0073464B">
          <w:pPr>
            <w:pBdr>
              <w:top w:val="nil"/>
              <w:left w:val="nil"/>
              <w:bottom w:val="nil"/>
              <w:right w:val="nil"/>
              <w:between w:val="nil"/>
            </w:pBdr>
            <w:tabs>
              <w:tab w:val="center" w:pos="4513"/>
              <w:tab w:val="right" w:pos="9026"/>
            </w:tabs>
            <w:spacing w:line="245" w:lineRule="auto"/>
            <w:ind w:left="810"/>
            <w:rPr>
              <w:color w:val="000000"/>
              <w:sz w:val="32"/>
              <w:szCs w:val="32"/>
            </w:rPr>
          </w:pPr>
          <w:r>
            <w:rPr>
              <w:color w:val="000000"/>
              <w:sz w:val="32"/>
              <w:szCs w:val="32"/>
            </w:rPr>
            <w:t>News Release</w:t>
          </w:r>
        </w:p>
        <w:p w14:paraId="19F78740" w14:textId="77777777" w:rsidR="00FC1DD8" w:rsidRDefault="004352E6" w:rsidP="0073464B">
          <w:pPr>
            <w:pBdr>
              <w:top w:val="nil"/>
              <w:left w:val="nil"/>
              <w:bottom w:val="nil"/>
              <w:right w:val="nil"/>
              <w:between w:val="nil"/>
            </w:pBdr>
            <w:tabs>
              <w:tab w:val="center" w:pos="4513"/>
              <w:tab w:val="right" w:pos="9026"/>
            </w:tabs>
            <w:spacing w:line="245" w:lineRule="auto"/>
            <w:ind w:left="810"/>
            <w:rPr>
              <w:color w:val="000000"/>
              <w:sz w:val="32"/>
              <w:szCs w:val="32"/>
            </w:rPr>
          </w:pPr>
          <w:r>
            <w:rPr>
              <w:color w:val="FA000F"/>
              <w:sz w:val="32"/>
              <w:szCs w:val="32"/>
            </w:rPr>
            <w:t>For Immediate Release</w:t>
          </w:r>
        </w:p>
      </w:tc>
    </w:tr>
  </w:tbl>
  <w:p w14:paraId="1E01FE12" w14:textId="77777777" w:rsidR="00FC1DD8" w:rsidRDefault="004352E6">
    <w:pPr>
      <w:pBdr>
        <w:top w:val="nil"/>
        <w:left w:val="nil"/>
        <w:bottom w:val="nil"/>
        <w:right w:val="nil"/>
        <w:between w:val="nil"/>
      </w:pBdr>
      <w:tabs>
        <w:tab w:val="center" w:pos="4513"/>
        <w:tab w:val="right" w:pos="9026"/>
      </w:tabs>
      <w:spacing w:line="240" w:lineRule="auto"/>
      <w:rPr>
        <w:color w:val="000000"/>
        <w:sz w:val="16"/>
        <w:szCs w:val="16"/>
      </w:rPr>
    </w:pPr>
    <w:r>
      <w:rPr>
        <w:color w:val="000000"/>
        <w:sz w:val="16"/>
        <w:szCs w:val="16"/>
      </w:rPr>
      <w:t xml:space="preserve"> </w:t>
    </w:r>
    <w:r>
      <w:rPr>
        <w:noProof/>
        <w:color w:val="000000"/>
        <w:sz w:val="16"/>
        <w:szCs w:val="16"/>
      </w:rPr>
      <w:drawing>
        <wp:anchor distT="0" distB="0" distL="114300" distR="114300" simplePos="0" relativeHeight="251658240" behindDoc="0" locked="0" layoutInCell="1" hidden="0" allowOverlap="1" wp14:anchorId="5ECF1EF4" wp14:editId="4AE35C9E">
          <wp:simplePos x="0" y="0"/>
          <wp:positionH relativeFrom="page">
            <wp:posOffset>4781550</wp:posOffset>
          </wp:positionH>
          <wp:positionV relativeFrom="page">
            <wp:posOffset>431800</wp:posOffset>
          </wp:positionV>
          <wp:extent cx="2336400" cy="518400"/>
          <wp:effectExtent l="0" t="0" r="0" b="0"/>
          <wp:wrapNone/>
          <wp:docPr id="65717365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336400" cy="5184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A34CB"/>
    <w:multiLevelType w:val="hybridMultilevel"/>
    <w:tmpl w:val="C2D605AA"/>
    <w:lvl w:ilvl="0" w:tplc="FF9CB866">
      <w:start w:val="1"/>
      <w:numFmt w:val="decimal"/>
      <w:lvlText w:val="%1."/>
      <w:lvlJc w:val="left"/>
      <w:pPr>
        <w:ind w:left="340" w:hanging="360"/>
      </w:pPr>
      <w:rPr>
        <w:rFonts w:hint="default"/>
      </w:rPr>
    </w:lvl>
    <w:lvl w:ilvl="1" w:tplc="04090019" w:tentative="1">
      <w:start w:val="1"/>
      <w:numFmt w:val="lowerLetter"/>
      <w:lvlText w:val="%2."/>
      <w:lvlJc w:val="left"/>
      <w:pPr>
        <w:ind w:left="1060" w:hanging="360"/>
      </w:pPr>
    </w:lvl>
    <w:lvl w:ilvl="2" w:tplc="0409001B" w:tentative="1">
      <w:start w:val="1"/>
      <w:numFmt w:val="lowerRoman"/>
      <w:lvlText w:val="%3."/>
      <w:lvlJc w:val="right"/>
      <w:pPr>
        <w:ind w:left="1780" w:hanging="180"/>
      </w:pPr>
    </w:lvl>
    <w:lvl w:ilvl="3" w:tplc="0409000F" w:tentative="1">
      <w:start w:val="1"/>
      <w:numFmt w:val="decimal"/>
      <w:lvlText w:val="%4."/>
      <w:lvlJc w:val="left"/>
      <w:pPr>
        <w:ind w:left="2500" w:hanging="360"/>
      </w:pPr>
    </w:lvl>
    <w:lvl w:ilvl="4" w:tplc="04090019" w:tentative="1">
      <w:start w:val="1"/>
      <w:numFmt w:val="lowerLetter"/>
      <w:lvlText w:val="%5."/>
      <w:lvlJc w:val="left"/>
      <w:pPr>
        <w:ind w:left="3220" w:hanging="360"/>
      </w:pPr>
    </w:lvl>
    <w:lvl w:ilvl="5" w:tplc="0409001B" w:tentative="1">
      <w:start w:val="1"/>
      <w:numFmt w:val="lowerRoman"/>
      <w:lvlText w:val="%6."/>
      <w:lvlJc w:val="right"/>
      <w:pPr>
        <w:ind w:left="3940" w:hanging="180"/>
      </w:pPr>
    </w:lvl>
    <w:lvl w:ilvl="6" w:tplc="0409000F" w:tentative="1">
      <w:start w:val="1"/>
      <w:numFmt w:val="decimal"/>
      <w:lvlText w:val="%7."/>
      <w:lvlJc w:val="left"/>
      <w:pPr>
        <w:ind w:left="4660" w:hanging="360"/>
      </w:pPr>
    </w:lvl>
    <w:lvl w:ilvl="7" w:tplc="04090019" w:tentative="1">
      <w:start w:val="1"/>
      <w:numFmt w:val="lowerLetter"/>
      <w:lvlText w:val="%8."/>
      <w:lvlJc w:val="left"/>
      <w:pPr>
        <w:ind w:left="5380" w:hanging="360"/>
      </w:pPr>
    </w:lvl>
    <w:lvl w:ilvl="8" w:tplc="0409001B" w:tentative="1">
      <w:start w:val="1"/>
      <w:numFmt w:val="lowerRoman"/>
      <w:lvlText w:val="%9."/>
      <w:lvlJc w:val="right"/>
      <w:pPr>
        <w:ind w:left="6100" w:hanging="180"/>
      </w:pPr>
    </w:lvl>
  </w:abstractNum>
  <w:abstractNum w:abstractNumId="1" w15:restartNumberingAfterBreak="0">
    <w:nsid w:val="24DA72D6"/>
    <w:multiLevelType w:val="multilevel"/>
    <w:tmpl w:val="A7EA29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D3E4CF6"/>
    <w:multiLevelType w:val="multilevel"/>
    <w:tmpl w:val="7BC00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B9A26D2"/>
    <w:multiLevelType w:val="multilevel"/>
    <w:tmpl w:val="0CFEE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E141FCB"/>
    <w:multiLevelType w:val="multilevel"/>
    <w:tmpl w:val="C36698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51219838">
    <w:abstractNumId w:val="1"/>
  </w:num>
  <w:num w:numId="2" w16cid:durableId="1199860014">
    <w:abstractNumId w:val="3"/>
  </w:num>
  <w:num w:numId="3" w16cid:durableId="370763700">
    <w:abstractNumId w:val="4"/>
  </w:num>
  <w:num w:numId="4" w16cid:durableId="228079555">
    <w:abstractNumId w:val="2"/>
  </w:num>
  <w:num w:numId="5" w16cid:durableId="17668028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1DD8"/>
    <w:rsid w:val="000060B4"/>
    <w:rsid w:val="00134169"/>
    <w:rsid w:val="001434C0"/>
    <w:rsid w:val="00154A42"/>
    <w:rsid w:val="00161A7F"/>
    <w:rsid w:val="00165F02"/>
    <w:rsid w:val="001B6915"/>
    <w:rsid w:val="001C351A"/>
    <w:rsid w:val="001D2504"/>
    <w:rsid w:val="001D2A6D"/>
    <w:rsid w:val="001E0C1F"/>
    <w:rsid w:val="00204654"/>
    <w:rsid w:val="00256033"/>
    <w:rsid w:val="002A314E"/>
    <w:rsid w:val="002C39D3"/>
    <w:rsid w:val="002D7D57"/>
    <w:rsid w:val="002E24F9"/>
    <w:rsid w:val="002E2F9C"/>
    <w:rsid w:val="002F52AF"/>
    <w:rsid w:val="002F6D80"/>
    <w:rsid w:val="00327F71"/>
    <w:rsid w:val="0033746C"/>
    <w:rsid w:val="00337DF6"/>
    <w:rsid w:val="00340B95"/>
    <w:rsid w:val="00391F09"/>
    <w:rsid w:val="003A7A3C"/>
    <w:rsid w:val="003D5832"/>
    <w:rsid w:val="003E127D"/>
    <w:rsid w:val="00425F5D"/>
    <w:rsid w:val="004352E6"/>
    <w:rsid w:val="0046690A"/>
    <w:rsid w:val="0048342B"/>
    <w:rsid w:val="00487BBA"/>
    <w:rsid w:val="004D50C5"/>
    <w:rsid w:val="005058AE"/>
    <w:rsid w:val="005178E4"/>
    <w:rsid w:val="005772CD"/>
    <w:rsid w:val="0058298C"/>
    <w:rsid w:val="00583F45"/>
    <w:rsid w:val="00591E3B"/>
    <w:rsid w:val="005B2682"/>
    <w:rsid w:val="005B4969"/>
    <w:rsid w:val="005B7358"/>
    <w:rsid w:val="005C7308"/>
    <w:rsid w:val="00603743"/>
    <w:rsid w:val="00633C62"/>
    <w:rsid w:val="006361B7"/>
    <w:rsid w:val="006363E9"/>
    <w:rsid w:val="006A4B6F"/>
    <w:rsid w:val="006A5694"/>
    <w:rsid w:val="006C7935"/>
    <w:rsid w:val="006D22AA"/>
    <w:rsid w:val="00721E7F"/>
    <w:rsid w:val="00722360"/>
    <w:rsid w:val="007231B9"/>
    <w:rsid w:val="0073464B"/>
    <w:rsid w:val="00766D0D"/>
    <w:rsid w:val="00796D5F"/>
    <w:rsid w:val="007C5187"/>
    <w:rsid w:val="00865DB4"/>
    <w:rsid w:val="008A4240"/>
    <w:rsid w:val="008F70AE"/>
    <w:rsid w:val="009219D5"/>
    <w:rsid w:val="00923197"/>
    <w:rsid w:val="009616A1"/>
    <w:rsid w:val="009813E3"/>
    <w:rsid w:val="00991D7A"/>
    <w:rsid w:val="00997A87"/>
    <w:rsid w:val="009A437E"/>
    <w:rsid w:val="00A04A69"/>
    <w:rsid w:val="00A10A18"/>
    <w:rsid w:val="00A93185"/>
    <w:rsid w:val="00A949E4"/>
    <w:rsid w:val="00AD70CA"/>
    <w:rsid w:val="00B012EF"/>
    <w:rsid w:val="00B93A9F"/>
    <w:rsid w:val="00B94246"/>
    <w:rsid w:val="00BD38B3"/>
    <w:rsid w:val="00C27FA8"/>
    <w:rsid w:val="00C71AEF"/>
    <w:rsid w:val="00CC0050"/>
    <w:rsid w:val="00CE1917"/>
    <w:rsid w:val="00D32033"/>
    <w:rsid w:val="00D807A0"/>
    <w:rsid w:val="00DB4F18"/>
    <w:rsid w:val="00E247ED"/>
    <w:rsid w:val="00E2510B"/>
    <w:rsid w:val="00E46296"/>
    <w:rsid w:val="00E75CA6"/>
    <w:rsid w:val="00E91104"/>
    <w:rsid w:val="00E972F1"/>
    <w:rsid w:val="00EB2163"/>
    <w:rsid w:val="00EB7507"/>
    <w:rsid w:val="00EC180D"/>
    <w:rsid w:val="00ED55F9"/>
    <w:rsid w:val="00F55473"/>
    <w:rsid w:val="00F90785"/>
    <w:rsid w:val="00FC1DD8"/>
    <w:rsid w:val="00FC7F71"/>
    <w:rsid w:val="01547537"/>
    <w:rsid w:val="076B08B9"/>
    <w:rsid w:val="0C168C29"/>
    <w:rsid w:val="2DFBFAB7"/>
    <w:rsid w:val="66DE4758"/>
    <w:rsid w:val="6C94B987"/>
    <w:rsid w:val="70C17C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CA6147"/>
  <w15:docId w15:val="{4961DD90-3592-47CC-BB24-61CDF0DF5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itachi Sans" w:eastAsia="Hitachi Sans" w:hAnsi="Hitachi Sans" w:cs="Hitachi Sans"/>
        <w:sz w:val="22"/>
        <w:szCs w:val="22"/>
        <w:lang w:val="en" w:eastAsia="en-US" w:bidi="ar-SA"/>
      </w:rPr>
    </w:rPrDefault>
    <w:pPrDefault>
      <w:pPr>
        <w:spacing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240"/>
      <w:outlineLvl w:val="0"/>
    </w:pPr>
    <w:rPr>
      <w:b/>
      <w:color w:val="000000"/>
    </w:rPr>
  </w:style>
  <w:style w:type="paragraph" w:styleId="Heading2">
    <w:name w:val="heading 2"/>
    <w:basedOn w:val="Normal"/>
    <w:next w:val="Normal"/>
    <w:uiPriority w:val="9"/>
    <w:semiHidden/>
    <w:unhideWhenUsed/>
    <w:qFormat/>
    <w:pPr>
      <w:keepNext/>
      <w:keepLines/>
      <w:spacing w:after="120"/>
      <w:outlineLvl w:val="1"/>
    </w:pPr>
    <w:rPr>
      <w:b/>
      <w:color w:val="000000"/>
    </w:rPr>
  </w:style>
  <w:style w:type="paragraph" w:styleId="Heading3">
    <w:name w:val="heading 3"/>
    <w:basedOn w:val="Normal"/>
    <w:next w:val="Normal"/>
    <w:uiPriority w:val="9"/>
    <w:semiHidden/>
    <w:unhideWhenUsed/>
    <w:qFormat/>
    <w:pPr>
      <w:keepNext/>
      <w:keepLines/>
      <w:spacing w:before="160" w:after="80"/>
      <w:outlineLvl w:val="2"/>
    </w:pPr>
    <w:rPr>
      <w:color w:val="BB000B"/>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BB000B"/>
    </w:rPr>
  </w:style>
  <w:style w:type="paragraph" w:styleId="Heading5">
    <w:name w:val="heading 5"/>
    <w:basedOn w:val="Normal"/>
    <w:next w:val="Normal"/>
    <w:uiPriority w:val="9"/>
    <w:semiHidden/>
    <w:unhideWhenUsed/>
    <w:qFormat/>
    <w:pPr>
      <w:keepNext/>
      <w:keepLines/>
      <w:spacing w:before="80" w:after="40"/>
      <w:outlineLvl w:val="4"/>
    </w:pPr>
    <w:rPr>
      <w:color w:val="BB000B"/>
    </w:rPr>
  </w:style>
  <w:style w:type="paragraph" w:styleId="Heading6">
    <w:name w:val="heading 6"/>
    <w:basedOn w:val="Normal"/>
    <w:next w:val="Normal"/>
    <w:uiPriority w:val="9"/>
    <w:semiHidden/>
    <w:unhideWhenUsed/>
    <w:qFormat/>
    <w:pPr>
      <w:keepNext/>
      <w:keepLines/>
      <w:spacing w:before="4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480" w:after="160" w:line="240" w:lineRule="auto"/>
    </w:pPr>
    <w:rPr>
      <w:b/>
      <w:sz w:val="28"/>
      <w:szCs w:val="28"/>
    </w:rPr>
  </w:style>
  <w:style w:type="paragraph" w:styleId="Subtitle">
    <w:name w:val="Subtitle"/>
    <w:basedOn w:val="Normal"/>
    <w:next w:val="Normal"/>
    <w:uiPriority w:val="11"/>
    <w:qFormat/>
    <w:pPr>
      <w:spacing w:after="160" w:line="288" w:lineRule="auto"/>
    </w:pPr>
    <w:rPr>
      <w:color w:val="0C0C0C"/>
    </w:rPr>
  </w:style>
  <w:style w:type="table" w:customStyle="1" w:styleId="4">
    <w:name w:val="4"/>
    <w:basedOn w:val="TableNormal0"/>
    <w:tblPr>
      <w:tblStyleRowBandSize w:val="1"/>
      <w:tblStyleColBandSize w:val="1"/>
    </w:tblPr>
  </w:style>
  <w:style w:type="table" w:customStyle="1" w:styleId="3">
    <w:name w:val="3"/>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2">
    <w:name w:val="2"/>
    <w:basedOn w:val="TableNormal0"/>
    <w:tblPr>
      <w:tblStyleRowBandSize w:val="1"/>
      <w:tblStyleColBandSize w:val="1"/>
      <w:tblCellMar>
        <w:top w:w="0" w:type="dxa"/>
        <w:left w:w="115" w:type="dxa"/>
        <w:bottom w:w="0" w:type="dxa"/>
        <w:right w:w="115" w:type="dxa"/>
      </w:tblCellMar>
    </w:tblPr>
  </w:style>
  <w:style w:type="table" w:customStyle="1" w:styleId="1">
    <w:name w:val="1"/>
    <w:basedOn w:val="TableNormal0"/>
    <w:pPr>
      <w:spacing w:line="240" w:lineRule="auto"/>
    </w:pPr>
    <w:tblPr>
      <w:tblStyleRowBandSize w:val="1"/>
      <w:tblStyleColBandSize w:val="1"/>
      <w:tblCellMar>
        <w:top w:w="0" w:type="dxa"/>
        <w:left w:w="0" w:type="dxa"/>
        <w:bottom w:w="0" w:type="dxa"/>
        <w:right w:w="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semiHidden/>
    <w:unhideWhenUsed/>
    <w:rsid w:val="008A424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8A4240"/>
  </w:style>
  <w:style w:type="character" w:customStyle="1" w:styleId="eop">
    <w:name w:val="eop"/>
    <w:basedOn w:val="DefaultParagraphFont"/>
    <w:rsid w:val="008A4240"/>
  </w:style>
  <w:style w:type="character" w:styleId="Hyperlink">
    <w:name w:val="Hyperlink"/>
    <w:basedOn w:val="DefaultParagraphFont"/>
    <w:uiPriority w:val="99"/>
    <w:unhideWhenUsed/>
    <w:rsid w:val="0073464B"/>
    <w:rPr>
      <w:color w:val="0000FF" w:themeColor="hyperlink"/>
      <w:u w:val="single"/>
    </w:rPr>
  </w:style>
  <w:style w:type="character" w:styleId="UnresolvedMention">
    <w:name w:val="Unresolved Mention"/>
    <w:basedOn w:val="DefaultParagraphFont"/>
    <w:uiPriority w:val="99"/>
    <w:semiHidden/>
    <w:unhideWhenUsed/>
    <w:rsid w:val="0073464B"/>
    <w:rPr>
      <w:color w:val="605E5C"/>
      <w:shd w:val="clear" w:color="auto" w:fill="E1DFDD"/>
    </w:rPr>
  </w:style>
  <w:style w:type="paragraph" w:styleId="Header">
    <w:name w:val="header"/>
    <w:basedOn w:val="Normal"/>
    <w:link w:val="HeaderChar"/>
    <w:uiPriority w:val="99"/>
    <w:unhideWhenUsed/>
    <w:rsid w:val="0073464B"/>
    <w:pPr>
      <w:tabs>
        <w:tab w:val="center" w:pos="4680"/>
        <w:tab w:val="right" w:pos="9360"/>
      </w:tabs>
      <w:spacing w:line="240" w:lineRule="auto"/>
    </w:pPr>
  </w:style>
  <w:style w:type="character" w:customStyle="1" w:styleId="HeaderChar">
    <w:name w:val="Header Char"/>
    <w:basedOn w:val="DefaultParagraphFont"/>
    <w:link w:val="Header"/>
    <w:uiPriority w:val="99"/>
    <w:rsid w:val="0073464B"/>
  </w:style>
  <w:style w:type="paragraph" w:styleId="Footer">
    <w:name w:val="footer"/>
    <w:basedOn w:val="Normal"/>
    <w:link w:val="FooterChar"/>
    <w:uiPriority w:val="99"/>
    <w:semiHidden/>
    <w:unhideWhenUsed/>
    <w:rsid w:val="00E972F1"/>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E972F1"/>
  </w:style>
  <w:style w:type="paragraph" w:styleId="ListParagraph">
    <w:name w:val="List Paragraph"/>
    <w:basedOn w:val="Normal"/>
    <w:uiPriority w:val="34"/>
    <w:qFormat/>
    <w:rsid w:val="00B012EF"/>
    <w:pPr>
      <w:ind w:left="720"/>
      <w:contextualSpacing/>
    </w:pPr>
  </w:style>
  <w:style w:type="character" w:styleId="FollowedHyperlink">
    <w:name w:val="FollowedHyperlink"/>
    <w:basedOn w:val="DefaultParagraphFont"/>
    <w:uiPriority w:val="99"/>
    <w:semiHidden/>
    <w:unhideWhenUsed/>
    <w:rsid w:val="00B012E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07365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hitachi.com/en/"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x.com/HitachiEnerg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linkedin.com/company/hitachienergy/posts/?feedView=all"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www.hitachienergy.com" TargetMode="External"/><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media.relations@hitachienergy.com"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d8c89053-2e45-404c-ac67-ea3cd3aded8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61FD49E6044D46B227D3FD70A7ADB7" ma:contentTypeVersion="19" ma:contentTypeDescription="Create a new document." ma:contentTypeScope="" ma:versionID="99e5b98c3b273df901ce549d0dc792da">
  <xsd:schema xmlns:xsd="http://www.w3.org/2001/XMLSchema" xmlns:xs="http://www.w3.org/2001/XMLSchema" xmlns:p="http://schemas.microsoft.com/office/2006/metadata/properties" xmlns:ns3="25cff5d2-1d5e-4349-a624-b10d9b9f42fe" xmlns:ns4="d8c89053-2e45-404c-ac67-ea3cd3aded83" targetNamespace="http://schemas.microsoft.com/office/2006/metadata/properties" ma:root="true" ma:fieldsID="6188472c0f32d2d27d56579868ca0434" ns3:_="" ns4:_="">
    <xsd:import namespace="25cff5d2-1d5e-4349-a624-b10d9b9f42fe"/>
    <xsd:import namespace="d8c89053-2e45-404c-ac67-ea3cd3aded8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LengthInSeconds" minOccurs="0"/>
                <xsd:element ref="ns4:_activity" minOccurs="0"/>
                <xsd:element ref="ns4:MediaServiceObjectDetectorVersions" minOccurs="0"/>
                <xsd:element ref="ns4:MediaServiceSystemTags" minOccurs="0"/>
                <xsd:element ref="ns4:MediaServiceSearchProperties"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cff5d2-1d5e-4349-a624-b10d9b9f42f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c89053-2e45-404c-ac67-ea3cd3aded8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DBB4BF-A17A-435E-BA6F-91FE5DE3A79B}">
  <ds:schemaRefs>
    <ds:schemaRef ds:uri="http://schemas.microsoft.com/sharepoint/v3/contenttype/forms"/>
  </ds:schemaRefs>
</ds:datastoreItem>
</file>

<file path=customXml/itemProps2.xml><?xml version="1.0" encoding="utf-8"?>
<ds:datastoreItem xmlns:ds="http://schemas.openxmlformats.org/officeDocument/2006/customXml" ds:itemID="{4237CC25-7FD5-402B-A70B-28FC0E2F5378}">
  <ds:schemaRefs>
    <ds:schemaRef ds:uri="http://schemas.microsoft.com/office/2006/metadata/properties"/>
    <ds:schemaRef ds:uri="http://schemas.microsoft.com/office/infopath/2007/PartnerControls"/>
    <ds:schemaRef ds:uri="d8c89053-2e45-404c-ac67-ea3cd3aded83"/>
  </ds:schemaRefs>
</ds:datastoreItem>
</file>

<file path=customXml/itemProps3.xml><?xml version="1.0" encoding="utf-8"?>
<ds:datastoreItem xmlns:ds="http://schemas.openxmlformats.org/officeDocument/2006/customXml" ds:itemID="{341436E2-598A-42D0-AD22-79F932019B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cff5d2-1d5e-4349-a624-b10d9b9f42fe"/>
    <ds:schemaRef ds:uri="d8c89053-2e45-404c-ac67-ea3cd3aded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831e6d9-dc6c-4cd1-9ec6-1dc2b4133195}" enabled="0" method="" siteId="{7831e6d9-dc6c-4cd1-9ec6-1dc2b4133195}" removed="1"/>
</clbl:labelList>
</file>

<file path=docProps/app.xml><?xml version="1.0" encoding="utf-8"?>
<Properties xmlns="http://schemas.openxmlformats.org/officeDocument/2006/extended-properties" xmlns:vt="http://schemas.openxmlformats.org/officeDocument/2006/docPropsVTypes">
  <Template>Normal</Template>
  <TotalTime>0</TotalTime>
  <Pages>2</Pages>
  <Words>714</Words>
  <Characters>4072</Characters>
  <Application>Microsoft Office Word</Application>
  <DocSecurity>0</DocSecurity>
  <Lines>33</Lines>
  <Paragraphs>9</Paragraphs>
  <ScaleCrop>false</ScaleCrop>
  <Company/>
  <LinksUpToDate>false</LinksUpToDate>
  <CharactersWithSpaces>4777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Vishak Gopinath</dc:creator>
  <cp:lastModifiedBy>Mbali Zondo</cp:lastModifiedBy>
  <cp:revision>10</cp:revision>
  <cp:lastPrinted>2025-10-12T03:21:00Z</cp:lastPrinted>
  <dcterms:created xsi:type="dcterms:W3CDTF">2026-03-23T07:36:00Z</dcterms:created>
  <dcterms:modified xsi:type="dcterms:W3CDTF">2026-05-06T12:52:00Z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0x0101004461FD49E6044D46B227D3FD70A7ADB7</vt:lpwstr>
  </property>
  <property fmtid="{D5CDD505-2E9C-101B-9397-08002B2CF9AE}" pid="3" name="MediaServiceImageTags">
    <vt:lpwstr>MediaServiceImageTags</vt:lpwstr>
  </property>
  <property fmtid="{D5CDD505-2E9C-101B-9397-08002B2CF9AE}" pid="4" name="GrammarlyDocumentId">
    <vt:lpwstr>e032e614-bf6d-4678-87f5-c9c373d0f992</vt:lpwstr>
  </property>
  <property fmtid="{D5CDD505-2E9C-101B-9397-08002B2CF9AE}" pid="5" name="ClassificationContentMarkingFooterShapeIds">
    <vt:lpwstr>5739d886,3a4a9f47,189e6258</vt:lpwstr>
  </property>
  <property fmtid="{D5CDD505-2E9C-101B-9397-08002B2CF9AE}" pid="6" name="ClassificationContentMarkingFooterFontProps">
    <vt:lpwstr>#000000,10,Calibri</vt:lpwstr>
  </property>
  <property fmtid="{D5CDD505-2E9C-101B-9397-08002B2CF9AE}" pid="7" name="ClassificationContentMarkingFooterText">
    <vt:lpwstr>Confidential - Not for Public Consumption or Distribution</vt:lpwstr>
  </property>
  <property fmtid="{D5CDD505-2E9C-101B-9397-08002B2CF9AE}" pid="8" name="MSIP_Label_8e19d756-792e-42a1-bcad-4cb9051ddd2d_Enabled">
    <vt:lpwstr>true</vt:lpwstr>
  </property>
  <property fmtid="{D5CDD505-2E9C-101B-9397-08002B2CF9AE}" pid="9" name="MSIP_Label_8e19d756-792e-42a1-bcad-4cb9051ddd2d_SetDate">
    <vt:lpwstr>2025-09-22T07:07:10Z</vt:lpwstr>
  </property>
  <property fmtid="{D5CDD505-2E9C-101B-9397-08002B2CF9AE}" pid="10" name="MSIP_Label_8e19d756-792e-42a1-bcad-4cb9051ddd2d_Method">
    <vt:lpwstr>Standard</vt:lpwstr>
  </property>
  <property fmtid="{D5CDD505-2E9C-101B-9397-08002B2CF9AE}" pid="11" name="MSIP_Label_8e19d756-792e-42a1-bcad-4cb9051ddd2d_Name">
    <vt:lpwstr>Confidential</vt:lpwstr>
  </property>
  <property fmtid="{D5CDD505-2E9C-101B-9397-08002B2CF9AE}" pid="12" name="MSIP_Label_8e19d756-792e-42a1-bcad-4cb9051ddd2d_SiteId">
    <vt:lpwstr>41eb501a-f671-4ce0-a5bf-b64168c3705f</vt:lpwstr>
  </property>
  <property fmtid="{D5CDD505-2E9C-101B-9397-08002B2CF9AE}" pid="13" name="MSIP_Label_8e19d756-792e-42a1-bcad-4cb9051ddd2d_ActionId">
    <vt:lpwstr>90edafe4-0718-4323-a8ec-81160e3d472c</vt:lpwstr>
  </property>
  <property fmtid="{D5CDD505-2E9C-101B-9397-08002B2CF9AE}" pid="14" name="MSIP_Label_8e19d756-792e-42a1-bcad-4cb9051ddd2d_ContentBits">
    <vt:lpwstr>2</vt:lpwstr>
  </property>
  <property fmtid="{D5CDD505-2E9C-101B-9397-08002B2CF9AE}" pid="15" name="MSIP_Label_8e19d756-792e-42a1-bcad-4cb9051ddd2d_Tag">
    <vt:lpwstr>10, 3, 0, 1</vt:lpwstr>
  </property>
  <property fmtid="{D5CDD505-2E9C-101B-9397-08002B2CF9AE}" pid="16" name="docLang">
    <vt:lpwstr>en</vt:lpwstr>
  </property>
</Properties>
</file>