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D51D5" w14:textId="1049E861" w:rsidR="00A97ED3" w:rsidRDefault="00A97ED3" w:rsidP="00A97ED3">
      <w:pPr>
        <w:spacing w:line="240" w:lineRule="auto"/>
        <w:jc w:val="center"/>
        <w:rPr>
          <w:sz w:val="21"/>
          <w:szCs w:val="21"/>
        </w:rPr>
      </w:pPr>
    </w:p>
    <w:p w14:paraId="074BADE4" w14:textId="77777777" w:rsidR="00B5697F" w:rsidRDefault="00B5697F" w:rsidP="00B5697F">
      <w:pPr>
        <w:spacing w:line="240" w:lineRule="auto"/>
        <w:rPr>
          <w:b/>
          <w:bCs/>
          <w:sz w:val="28"/>
          <w:szCs w:val="28"/>
        </w:rPr>
      </w:pPr>
      <w:r>
        <w:rPr>
          <w:b/>
          <w:bCs/>
          <w:sz w:val="28"/>
          <w:szCs w:val="28"/>
        </w:rPr>
        <w:t>I</w:t>
      </w:r>
      <w:r w:rsidRPr="00A35A33">
        <w:rPr>
          <w:b/>
          <w:bCs/>
          <w:sz w:val="28"/>
          <w:szCs w:val="28"/>
        </w:rPr>
        <w:t xml:space="preserve">DC </w:t>
      </w:r>
      <w:proofErr w:type="spellStart"/>
      <w:r w:rsidRPr="00A35A33">
        <w:rPr>
          <w:b/>
          <w:bCs/>
          <w:sz w:val="28"/>
          <w:szCs w:val="28"/>
        </w:rPr>
        <w:t>MarketScape</w:t>
      </w:r>
      <w:proofErr w:type="spellEnd"/>
      <w:r w:rsidRPr="00A35A33">
        <w:rPr>
          <w:b/>
          <w:bCs/>
          <w:sz w:val="28"/>
          <w:szCs w:val="28"/>
        </w:rPr>
        <w:t xml:space="preserve"> </w:t>
      </w:r>
      <w:r>
        <w:rPr>
          <w:b/>
          <w:bCs/>
          <w:sz w:val="28"/>
          <w:szCs w:val="28"/>
        </w:rPr>
        <w:t>n</w:t>
      </w:r>
      <w:r w:rsidRPr="00A35A33">
        <w:rPr>
          <w:b/>
          <w:bCs/>
          <w:sz w:val="28"/>
          <w:szCs w:val="28"/>
        </w:rPr>
        <w:t xml:space="preserve">ames Hitachi Energy a </w:t>
      </w:r>
      <w:r>
        <w:rPr>
          <w:b/>
          <w:bCs/>
          <w:sz w:val="28"/>
          <w:szCs w:val="28"/>
        </w:rPr>
        <w:t>Leader</w:t>
      </w:r>
      <w:r w:rsidRPr="00A35A33">
        <w:rPr>
          <w:b/>
          <w:bCs/>
          <w:sz w:val="28"/>
          <w:szCs w:val="28"/>
        </w:rPr>
        <w:t xml:space="preserve"> in </w:t>
      </w:r>
      <w:r>
        <w:rPr>
          <w:b/>
          <w:bCs/>
          <w:sz w:val="28"/>
          <w:szCs w:val="28"/>
        </w:rPr>
        <w:t>Asset Performance Management for Worldwide Utilities</w:t>
      </w:r>
    </w:p>
    <w:p w14:paraId="7D5AA9AA" w14:textId="77777777" w:rsidR="00B5697F" w:rsidRDefault="00B5697F" w:rsidP="00B5697F">
      <w:pPr>
        <w:spacing w:line="240" w:lineRule="auto"/>
        <w:rPr>
          <w:b/>
          <w:bCs/>
          <w:sz w:val="28"/>
          <w:szCs w:val="28"/>
        </w:rPr>
      </w:pPr>
    </w:p>
    <w:p w14:paraId="1A2BD48C" w14:textId="77777777" w:rsidR="00B5697F" w:rsidRPr="00FF6F52" w:rsidRDefault="00B5697F" w:rsidP="00B5697F">
      <w:pPr>
        <w:spacing w:line="264" w:lineRule="auto"/>
      </w:pPr>
      <w:r w:rsidRPr="7F08AFCA">
        <w:rPr>
          <w:b/>
        </w:rPr>
        <w:t xml:space="preserve">Zurich, Switzerland, </w:t>
      </w:r>
      <w:r w:rsidRPr="3602FB56">
        <w:rPr>
          <w:b/>
          <w:bCs/>
        </w:rPr>
        <w:t>Feb. 17</w:t>
      </w:r>
      <w:r w:rsidRPr="7F08AFCA">
        <w:rPr>
          <w:b/>
        </w:rPr>
        <w:t>, 2026</w:t>
      </w:r>
      <w:r>
        <w:t xml:space="preserve"> - </w:t>
      </w:r>
      <w:hyperlink r:id="rId10">
        <w:r w:rsidRPr="7F08AFCA">
          <w:rPr>
            <w:rStyle w:val="Hyperlink"/>
          </w:rPr>
          <w:t>Hitachi Energy,</w:t>
        </w:r>
      </w:hyperlink>
      <w:r>
        <w:t xml:space="preserve"> a global leader in electrification, has been recognized as a Leader in the IDC </w:t>
      </w:r>
      <w:proofErr w:type="spellStart"/>
      <w:r>
        <w:t>MarketScape</w:t>
      </w:r>
      <w:proofErr w:type="spellEnd"/>
      <w:r>
        <w:t>: Worldwide Utilities Asset Performance Management (APM) 2025–2026 Vendor Assessment (Doc #US53008225, November 2025). The IDC study evaluated 12 APM providers by qualitatively and quantitatively assessing their capabilities and strategies regarding their offerings in the power and utilities industry.</w:t>
      </w:r>
    </w:p>
    <w:p w14:paraId="1E85C705" w14:textId="77777777" w:rsidR="00B5697F" w:rsidRDefault="00B5697F" w:rsidP="00B5697F">
      <w:pPr>
        <w:spacing w:line="264" w:lineRule="auto"/>
      </w:pPr>
    </w:p>
    <w:p w14:paraId="0D30BB39" w14:textId="77777777" w:rsidR="00B5697F" w:rsidRPr="008F2BB3" w:rsidRDefault="00B5697F" w:rsidP="00B5697F">
      <w:pPr>
        <w:spacing w:line="264" w:lineRule="auto"/>
      </w:pPr>
      <w:r>
        <w:t xml:space="preserve">“As utilities navigate the challenges of aging assets, clean-energy integration and grid modernization, APM solutions have become essential for achieving operational resilience, reducing costs and delivering sustainable outcomes across their organizations,” said the IDC </w:t>
      </w:r>
      <w:proofErr w:type="spellStart"/>
      <w:r>
        <w:t>MarketScape</w:t>
      </w:r>
      <w:proofErr w:type="spellEnd"/>
      <w:r>
        <w:t>.</w:t>
      </w:r>
    </w:p>
    <w:p w14:paraId="218B3A39" w14:textId="77777777" w:rsidR="00B5697F" w:rsidRPr="00DA2061" w:rsidRDefault="00B5697F" w:rsidP="00B5697F">
      <w:pPr>
        <w:spacing w:line="264" w:lineRule="auto"/>
      </w:pPr>
    </w:p>
    <w:p w14:paraId="75455F3E" w14:textId="77777777" w:rsidR="00B5697F" w:rsidRDefault="00B5697F" w:rsidP="00B5697F">
      <w:pPr>
        <w:spacing w:line="264" w:lineRule="auto"/>
      </w:pPr>
      <w:r>
        <w:t>“A modernized and data-driven approach to APM is now a strategic imperative for utilities,” said John Villali, Senior Research Director, IDC Energy Insights. “Sophisticated APM solutions have become foundational to utilities' digital and energy-transition strategies. With its heritage in the utility sector, AI-driven APM solution and global customer base, Hitachi Energy is well-positioned to guide and support utilities across the world in this important and continuously evolving space.”</w:t>
      </w:r>
    </w:p>
    <w:p w14:paraId="0163B2C1" w14:textId="77777777" w:rsidR="00B5697F" w:rsidRDefault="00B5697F" w:rsidP="00B5697F">
      <w:pPr>
        <w:spacing w:line="264" w:lineRule="auto"/>
      </w:pPr>
    </w:p>
    <w:p w14:paraId="68CD58DF" w14:textId="77777777" w:rsidR="00B5697F" w:rsidRPr="00053C3E" w:rsidRDefault="00B5697F" w:rsidP="00B5697F">
      <w:pPr>
        <w:spacing w:line="264" w:lineRule="auto"/>
        <w:rPr>
          <w:szCs w:val="22"/>
        </w:rPr>
      </w:pPr>
      <w:r>
        <w:rPr>
          <w:szCs w:val="22"/>
        </w:rPr>
        <w:t xml:space="preserve">According to the IDC </w:t>
      </w:r>
      <w:proofErr w:type="spellStart"/>
      <w:r>
        <w:rPr>
          <w:szCs w:val="22"/>
        </w:rPr>
        <w:t>MarketScape</w:t>
      </w:r>
      <w:proofErr w:type="spellEnd"/>
      <w:r>
        <w:rPr>
          <w:szCs w:val="22"/>
        </w:rPr>
        <w:t xml:space="preserve">: </w:t>
      </w:r>
      <w:r w:rsidRPr="00053C3E">
        <w:rPr>
          <w:szCs w:val="22"/>
        </w:rPr>
        <w:t>“Hitachi Energy has deep domain expertise in the utilities sector, especially in the transmission and distribution subsegments. Its APM offering provides over 175 prebuilt models covering transformers, breakers, and substation assets.”</w:t>
      </w:r>
    </w:p>
    <w:p w14:paraId="28D75D26" w14:textId="77777777" w:rsidR="00B5697F" w:rsidRPr="00E36A2B" w:rsidRDefault="00B5697F" w:rsidP="00B5697F">
      <w:pPr>
        <w:pStyle w:val="ListParagraph"/>
        <w:spacing w:line="264" w:lineRule="auto"/>
        <w:contextualSpacing w:val="0"/>
        <w:rPr>
          <w:szCs w:val="22"/>
        </w:rPr>
      </w:pPr>
    </w:p>
    <w:p w14:paraId="691D3C97" w14:textId="77777777" w:rsidR="00B5697F" w:rsidRPr="0000108E" w:rsidRDefault="00B5697F" w:rsidP="00B5697F">
      <w:pPr>
        <w:spacing w:line="264" w:lineRule="auto"/>
        <w:rPr>
          <w:szCs w:val="22"/>
        </w:rPr>
      </w:pPr>
      <w:r>
        <w:rPr>
          <w:szCs w:val="22"/>
        </w:rPr>
        <w:t xml:space="preserve">Furthermore, the report notes: </w:t>
      </w:r>
      <w:r w:rsidRPr="0000108E">
        <w:rPr>
          <w:szCs w:val="22"/>
        </w:rPr>
        <w:t xml:space="preserve">“Hitachi Energy can provide a fully integrated APM + </w:t>
      </w:r>
      <w:r>
        <w:rPr>
          <w:szCs w:val="22"/>
        </w:rPr>
        <w:t>enterprise asset management (</w:t>
      </w:r>
      <w:r w:rsidRPr="0000108E">
        <w:rPr>
          <w:szCs w:val="22"/>
        </w:rPr>
        <w:t>EAM</w:t>
      </w:r>
      <w:r>
        <w:rPr>
          <w:szCs w:val="22"/>
        </w:rPr>
        <w:t>)</w:t>
      </w:r>
      <w:r w:rsidRPr="0000108E">
        <w:rPr>
          <w:szCs w:val="22"/>
        </w:rPr>
        <w:t xml:space="preserve"> + </w:t>
      </w:r>
      <w:r>
        <w:rPr>
          <w:szCs w:val="22"/>
        </w:rPr>
        <w:t>field service management (</w:t>
      </w:r>
      <w:r w:rsidRPr="0000108E">
        <w:rPr>
          <w:szCs w:val="22"/>
        </w:rPr>
        <w:t>FSM</w:t>
      </w:r>
      <w:r>
        <w:rPr>
          <w:szCs w:val="22"/>
        </w:rPr>
        <w:t>)</w:t>
      </w:r>
      <w:r w:rsidRPr="0000108E">
        <w:rPr>
          <w:szCs w:val="22"/>
        </w:rPr>
        <w:t xml:space="preserve"> suite, which can provide a data-rich asset lifecycle management strategy that support</w:t>
      </w:r>
      <w:r>
        <w:rPr>
          <w:szCs w:val="22"/>
        </w:rPr>
        <w:t>s</w:t>
      </w:r>
      <w:r w:rsidRPr="0000108E">
        <w:rPr>
          <w:szCs w:val="22"/>
        </w:rPr>
        <w:t xml:space="preserve"> regional utility sector regulatory compliance across the globe.”</w:t>
      </w:r>
    </w:p>
    <w:p w14:paraId="21AA5921" w14:textId="77777777" w:rsidR="00B5697F" w:rsidRDefault="00B5697F" w:rsidP="00B5697F">
      <w:pPr>
        <w:spacing w:line="264" w:lineRule="auto"/>
        <w:rPr>
          <w:szCs w:val="22"/>
        </w:rPr>
      </w:pPr>
    </w:p>
    <w:p w14:paraId="1F2A0C86" w14:textId="77777777" w:rsidR="00B5697F" w:rsidRDefault="00B5697F" w:rsidP="00B5697F">
      <w:pPr>
        <w:spacing w:line="264" w:lineRule="auto"/>
        <w:rPr>
          <w:szCs w:val="22"/>
        </w:rPr>
      </w:pPr>
      <w:r>
        <w:rPr>
          <w:szCs w:val="22"/>
        </w:rPr>
        <w:t xml:space="preserve">“We’re pleased to be recognized as a Leader in APM by one of the world’s top technology research firms,” says Andy Howell, </w:t>
      </w:r>
      <w:r w:rsidRPr="00571C9B">
        <w:rPr>
          <w:szCs w:val="22"/>
        </w:rPr>
        <w:t>Global Head of Enterprise Software Product Group</w:t>
      </w:r>
      <w:r>
        <w:rPr>
          <w:szCs w:val="22"/>
        </w:rPr>
        <w:t>, Hitachi Energy. “Hitachi Energy has the world’s largest installed base in power transmission and distribution utilities. These same utilities are now adopting our integrated software solutions. Ultimately, IDC’s recognition reflects what’s most important: our customers’ success.”</w:t>
      </w:r>
    </w:p>
    <w:p w14:paraId="2B2F39BD" w14:textId="77777777" w:rsidR="00B5697F" w:rsidRPr="003A5C6F" w:rsidRDefault="00B5697F" w:rsidP="00B5697F">
      <w:pPr>
        <w:spacing w:line="264" w:lineRule="auto"/>
        <w:rPr>
          <w:szCs w:val="22"/>
        </w:rPr>
      </w:pPr>
    </w:p>
    <w:p w14:paraId="4DC6BEF5" w14:textId="010E27B6" w:rsidR="00B5697F" w:rsidRDefault="00C1272F" w:rsidP="00B5697F">
      <w:pPr>
        <w:spacing w:line="264" w:lineRule="auto"/>
        <w:rPr>
          <w:szCs w:val="22"/>
        </w:rPr>
      </w:pPr>
      <w:hyperlink r:id="rId11" w:history="1">
        <w:r w:rsidR="00B5697F" w:rsidRPr="007F0CF9">
          <w:rPr>
            <w:rStyle w:val="Hyperlink"/>
            <w:szCs w:val="22"/>
          </w:rPr>
          <w:t>Hitachi Energy APM</w:t>
        </w:r>
      </w:hyperlink>
      <w:r w:rsidR="00B5697F" w:rsidRPr="00A44A7C">
        <w:rPr>
          <w:szCs w:val="22"/>
        </w:rPr>
        <w:t xml:space="preserve"> is purpose</w:t>
      </w:r>
      <w:r w:rsidR="00B5697F" w:rsidRPr="00A44A7C">
        <w:rPr>
          <w:rFonts w:ascii="Cambria Math" w:hAnsi="Cambria Math" w:cs="Cambria Math"/>
          <w:szCs w:val="22"/>
        </w:rPr>
        <w:t>‑</w:t>
      </w:r>
      <w:r w:rsidR="00B5697F" w:rsidRPr="00A44A7C">
        <w:rPr>
          <w:szCs w:val="22"/>
        </w:rPr>
        <w:t xml:space="preserve">built for utilities, bringing </w:t>
      </w:r>
      <w:r w:rsidR="00B5697F">
        <w:rPr>
          <w:szCs w:val="22"/>
        </w:rPr>
        <w:t xml:space="preserve">together </w:t>
      </w:r>
      <w:r w:rsidR="00B5697F" w:rsidRPr="00A44A7C">
        <w:rPr>
          <w:szCs w:val="22"/>
        </w:rPr>
        <w:t xml:space="preserve">asset </w:t>
      </w:r>
      <w:hyperlink r:id="rId12" w:history="1">
        <w:r w:rsidR="00B5697F" w:rsidRPr="005B56A2">
          <w:rPr>
            <w:rStyle w:val="Hyperlink"/>
            <w:szCs w:val="22"/>
          </w:rPr>
          <w:t>health</w:t>
        </w:r>
      </w:hyperlink>
      <w:r w:rsidR="00B5697F" w:rsidRPr="00A44A7C">
        <w:rPr>
          <w:szCs w:val="22"/>
        </w:rPr>
        <w:t xml:space="preserve">, </w:t>
      </w:r>
      <w:hyperlink r:id="rId13" w:history="1">
        <w:r w:rsidR="00B5697F" w:rsidRPr="005B56A2">
          <w:rPr>
            <w:rStyle w:val="Hyperlink"/>
            <w:szCs w:val="22"/>
          </w:rPr>
          <w:t>reliability</w:t>
        </w:r>
      </w:hyperlink>
      <w:r w:rsidR="00B5697F" w:rsidRPr="00A44A7C">
        <w:rPr>
          <w:szCs w:val="22"/>
        </w:rPr>
        <w:t xml:space="preserve">, and </w:t>
      </w:r>
      <w:hyperlink r:id="rId14" w:history="1">
        <w:r w:rsidR="00B5697F" w:rsidRPr="003C3BB6">
          <w:rPr>
            <w:rStyle w:val="Hyperlink"/>
            <w:szCs w:val="22"/>
          </w:rPr>
          <w:t>optimization</w:t>
        </w:r>
      </w:hyperlink>
      <w:r w:rsidR="00B5697F" w:rsidRPr="00A44A7C">
        <w:rPr>
          <w:szCs w:val="22"/>
        </w:rPr>
        <w:t xml:space="preserve"> into one suite. When integrated with </w:t>
      </w:r>
      <w:hyperlink r:id="rId15">
        <w:r w:rsidR="00B5697F" w:rsidRPr="00BE4AD8">
          <w:rPr>
            <w:szCs w:val="22"/>
          </w:rPr>
          <w:t>enterprise asset management</w:t>
        </w:r>
      </w:hyperlink>
      <w:r w:rsidR="00B5697F" w:rsidRPr="00A44A7C">
        <w:rPr>
          <w:szCs w:val="22"/>
        </w:rPr>
        <w:t xml:space="preserve"> and </w:t>
      </w:r>
      <w:hyperlink r:id="rId16">
        <w:r w:rsidR="00B5697F" w:rsidRPr="00BE4AD8">
          <w:rPr>
            <w:szCs w:val="22"/>
          </w:rPr>
          <w:t>work management</w:t>
        </w:r>
      </w:hyperlink>
      <w:r w:rsidR="00B5697F" w:rsidRPr="00A44A7C">
        <w:rPr>
          <w:szCs w:val="22"/>
        </w:rPr>
        <w:t xml:space="preserve"> systems, it enables a closed-loop of asset lifecycle </w:t>
      </w:r>
      <w:r w:rsidR="00B5697F" w:rsidRPr="007424B3">
        <w:rPr>
          <w:szCs w:val="22"/>
        </w:rPr>
        <w:t>workflows</w:t>
      </w:r>
      <w:r w:rsidR="00B5697F" w:rsidRPr="00A44A7C">
        <w:rPr>
          <w:szCs w:val="22"/>
        </w:rPr>
        <w:t xml:space="preserve">. </w:t>
      </w:r>
    </w:p>
    <w:p w14:paraId="5C9898CA" w14:textId="77777777" w:rsidR="00B5697F" w:rsidRDefault="00B5697F" w:rsidP="00B5697F">
      <w:pPr>
        <w:spacing w:line="264" w:lineRule="auto"/>
        <w:rPr>
          <w:szCs w:val="22"/>
        </w:rPr>
      </w:pPr>
    </w:p>
    <w:p w14:paraId="652A6AC7" w14:textId="77777777" w:rsidR="00B5697F" w:rsidRDefault="00B5697F" w:rsidP="00B5697F">
      <w:pPr>
        <w:spacing w:line="264" w:lineRule="auto"/>
        <w:rPr>
          <w:szCs w:val="22"/>
        </w:rPr>
      </w:pPr>
      <w:r w:rsidRPr="00A44A7C">
        <w:rPr>
          <w:szCs w:val="22"/>
        </w:rPr>
        <w:t xml:space="preserve">Backed by over a century’s heritage of building and maintaining critical electricity transmission and distribution infrastructure across the world, </w:t>
      </w:r>
      <w:r>
        <w:rPr>
          <w:szCs w:val="22"/>
        </w:rPr>
        <w:t>including</w:t>
      </w:r>
      <w:r w:rsidRPr="00A44A7C">
        <w:rPr>
          <w:szCs w:val="22"/>
        </w:rPr>
        <w:t xml:space="preserve"> a library of </w:t>
      </w:r>
      <w:r>
        <w:rPr>
          <w:szCs w:val="22"/>
        </w:rPr>
        <w:t xml:space="preserve">more than </w:t>
      </w:r>
      <w:r w:rsidRPr="00A44A7C">
        <w:rPr>
          <w:szCs w:val="22"/>
        </w:rPr>
        <w:t xml:space="preserve">175 pre-built models for grid assets, Hitachi Energy APM allows utilities to prioritize the right maintenance, reduce failure risk, and optimize capital expenditures and operating expenses while meeting regulatory </w:t>
      </w:r>
      <w:r>
        <w:rPr>
          <w:szCs w:val="22"/>
        </w:rPr>
        <w:t>expectations</w:t>
      </w:r>
      <w:r w:rsidRPr="00A44A7C">
        <w:rPr>
          <w:szCs w:val="22"/>
        </w:rPr>
        <w:t xml:space="preserve">. </w:t>
      </w:r>
    </w:p>
    <w:p w14:paraId="274F35A0" w14:textId="77777777" w:rsidR="00B5697F" w:rsidRDefault="00B5697F" w:rsidP="00B5697F">
      <w:pPr>
        <w:spacing w:line="264" w:lineRule="auto"/>
        <w:rPr>
          <w:szCs w:val="22"/>
        </w:rPr>
      </w:pPr>
    </w:p>
    <w:p w14:paraId="24C91318" w14:textId="77777777" w:rsidR="00B5697F" w:rsidRDefault="00B5697F" w:rsidP="00B5697F">
      <w:pPr>
        <w:spacing w:line="264" w:lineRule="auto"/>
        <w:rPr>
          <w:szCs w:val="22"/>
        </w:rPr>
      </w:pPr>
      <w:r w:rsidRPr="008F2BB3">
        <w:rPr>
          <w:rFonts w:eastAsia="Times New Roman"/>
          <w:kern w:val="0"/>
          <w:szCs w:val="22"/>
          <w14:ligatures w14:val="none"/>
        </w:rPr>
        <w:t xml:space="preserve">Using AI-driven analytics and network-aware context, APM </w:t>
      </w:r>
      <w:r>
        <w:rPr>
          <w:rFonts w:eastAsia="Times New Roman"/>
          <w:kern w:val="0"/>
          <w:szCs w:val="22"/>
          <w14:ligatures w14:val="none"/>
        </w:rPr>
        <w:t>combines</w:t>
      </w:r>
      <w:r w:rsidRPr="008F2BB3">
        <w:rPr>
          <w:rFonts w:eastAsia="Times New Roman"/>
          <w:kern w:val="0"/>
          <w:szCs w:val="22"/>
          <w14:ligatures w14:val="none"/>
        </w:rPr>
        <w:t xml:space="preserve"> operational and historical data to </w:t>
      </w:r>
      <w:r>
        <w:rPr>
          <w:rFonts w:eastAsia="Times New Roman"/>
          <w:kern w:val="0"/>
          <w:szCs w:val="22"/>
          <w14:ligatures w14:val="none"/>
        </w:rPr>
        <w:t>strengthen</w:t>
      </w:r>
      <w:r w:rsidRPr="008F2BB3">
        <w:rPr>
          <w:rFonts w:eastAsia="Times New Roman"/>
          <w:kern w:val="0"/>
          <w:szCs w:val="22"/>
          <w14:ligatures w14:val="none"/>
        </w:rPr>
        <w:t xml:space="preserve"> reliability, safety, and cost performance across transmission and distribution.</w:t>
      </w:r>
      <w:r>
        <w:rPr>
          <w:szCs w:val="22"/>
        </w:rPr>
        <w:t xml:space="preserve"> </w:t>
      </w:r>
    </w:p>
    <w:p w14:paraId="50EE3CA2" w14:textId="77777777" w:rsidR="00B5697F" w:rsidRDefault="00B5697F" w:rsidP="00B5697F">
      <w:pPr>
        <w:spacing w:line="264" w:lineRule="auto"/>
      </w:pPr>
    </w:p>
    <w:p w14:paraId="5E99068A" w14:textId="77777777" w:rsidR="00B5697F" w:rsidRDefault="00B5697F" w:rsidP="00B5697F">
      <w:pPr>
        <w:spacing w:line="264" w:lineRule="auto"/>
        <w:rPr>
          <w:szCs w:val="22"/>
        </w:rPr>
      </w:pPr>
      <w:r>
        <w:lastRenderedPageBreak/>
        <w:t xml:space="preserve">Hitachi Energy APM is part of the Asset &amp; Work Management suite of solutions, which supports Hitachi’s HMAX Energy portfolio of digitally enabled services. HMAX by Hitachi is a suite of next-generation solutions that brings the power of AI to social infrastructure. </w:t>
      </w:r>
    </w:p>
    <w:p w14:paraId="5AC9C3BC" w14:textId="77777777" w:rsidR="0090747C" w:rsidRDefault="0090747C" w:rsidP="00B5697F">
      <w:pPr>
        <w:spacing w:line="264" w:lineRule="auto"/>
      </w:pPr>
    </w:p>
    <w:p w14:paraId="2F9CC75B" w14:textId="1798DD6E" w:rsidR="00B5697F" w:rsidRPr="0088778B" w:rsidRDefault="00B5697F" w:rsidP="00B5697F">
      <w:pPr>
        <w:spacing w:line="264" w:lineRule="auto"/>
        <w:rPr>
          <w:szCs w:val="22"/>
        </w:rPr>
      </w:pPr>
      <w:r>
        <w:t xml:space="preserve">To read the IDC </w:t>
      </w:r>
      <w:proofErr w:type="spellStart"/>
      <w:r>
        <w:t>MarketScape</w:t>
      </w:r>
      <w:proofErr w:type="spellEnd"/>
      <w:r>
        <w:t xml:space="preserve"> excerpt, </w:t>
      </w:r>
      <w:r w:rsidRPr="0088778B">
        <w:rPr>
          <w:szCs w:val="22"/>
        </w:rPr>
        <w:t xml:space="preserve">please visit </w:t>
      </w:r>
      <w:r w:rsidR="0088778B" w:rsidRPr="0088778B">
        <w:rPr>
          <w:rFonts w:cs="Segoe UI"/>
          <w:color w:val="000000"/>
          <w:szCs w:val="22"/>
          <w:u w:val="single"/>
          <w:shd w:val="clear" w:color="auto" w:fill="FFFFFF"/>
        </w:rPr>
        <w:t>https://www.hitachienergy.company/qPC</w:t>
      </w:r>
      <w:r w:rsidRPr="0088778B">
        <w:rPr>
          <w:szCs w:val="22"/>
        </w:rPr>
        <w:t>.</w:t>
      </w:r>
    </w:p>
    <w:p w14:paraId="2C98C520" w14:textId="77777777" w:rsidR="00B5697F" w:rsidRPr="007D23E5" w:rsidRDefault="00B5697F" w:rsidP="00B5697F">
      <w:pPr>
        <w:spacing w:line="264" w:lineRule="auto"/>
        <w:rPr>
          <w:sz w:val="18"/>
          <w:szCs w:val="18"/>
        </w:rPr>
      </w:pPr>
    </w:p>
    <w:p w14:paraId="7BCF3902" w14:textId="77777777" w:rsidR="00B5697F" w:rsidRPr="000A1C9E" w:rsidRDefault="00B5697F" w:rsidP="00B5697F">
      <w:pPr>
        <w:spacing w:line="264" w:lineRule="auto"/>
        <w:rPr>
          <w:b/>
          <w:bCs/>
          <w:sz w:val="19"/>
          <w:szCs w:val="19"/>
        </w:rPr>
      </w:pPr>
      <w:r w:rsidRPr="000A1C9E">
        <w:rPr>
          <w:b/>
          <w:bCs/>
          <w:sz w:val="19"/>
          <w:szCs w:val="19"/>
        </w:rPr>
        <w:t xml:space="preserve">About IDC </w:t>
      </w:r>
      <w:proofErr w:type="spellStart"/>
      <w:r w:rsidRPr="000A1C9E">
        <w:rPr>
          <w:b/>
          <w:bCs/>
          <w:sz w:val="19"/>
          <w:szCs w:val="19"/>
        </w:rPr>
        <w:t>MarketScape</w:t>
      </w:r>
      <w:proofErr w:type="spellEnd"/>
    </w:p>
    <w:p w14:paraId="57CB0081" w14:textId="77777777" w:rsidR="00B5697F" w:rsidRPr="000A1C9E" w:rsidRDefault="00B5697F" w:rsidP="00B5697F">
      <w:pPr>
        <w:spacing w:line="264" w:lineRule="auto"/>
        <w:rPr>
          <w:sz w:val="19"/>
          <w:szCs w:val="19"/>
        </w:rPr>
      </w:pPr>
      <w:r w:rsidRPr="000A1C9E">
        <w:rPr>
          <w:sz w:val="19"/>
          <w:szCs w:val="19"/>
        </w:rPr>
        <w:t xml:space="preserve">The IDC </w:t>
      </w:r>
      <w:proofErr w:type="spellStart"/>
      <w:r w:rsidRPr="000A1C9E">
        <w:rPr>
          <w:sz w:val="19"/>
          <w:szCs w:val="19"/>
        </w:rPr>
        <w:t>MarketScape</w:t>
      </w:r>
      <w:proofErr w:type="spellEnd"/>
      <w:r w:rsidRPr="000A1C9E">
        <w:rPr>
          <w:sz w:val="19"/>
          <w:szCs w:val="19"/>
        </w:rPr>
        <w:t xml:space="preserve"> vendor assessment model is designed to provide an overview of the competitive fitness of technology and service suppliers in a given market. The research utilizes a rigorous scoring methodology based on both qualitative and quantitative criteria that results in a single graphical illustration of each supplier's position within a given market. IDC </w:t>
      </w:r>
      <w:proofErr w:type="spellStart"/>
      <w:r w:rsidRPr="000A1C9E">
        <w:rPr>
          <w:sz w:val="19"/>
          <w:szCs w:val="19"/>
        </w:rPr>
        <w:t>MarketScape</w:t>
      </w:r>
      <w:proofErr w:type="spellEnd"/>
      <w:r w:rsidRPr="000A1C9E">
        <w:rPr>
          <w:sz w:val="19"/>
          <w:szCs w:val="19"/>
        </w:rPr>
        <w:t xml:space="preserve"> provides a clear framework in which the product and service offerings, capabilities and strategies, and current and future market success factors of technology suppliers can be meaningfully compared. The framework also provides technology buyers with a 360-degree assessment of the strengths and weaknesses of current and prospective suppliers. </w:t>
      </w:r>
    </w:p>
    <w:p w14:paraId="21DF3B98" w14:textId="77777777" w:rsidR="00B5697F" w:rsidRPr="000A1C9E" w:rsidRDefault="00B5697F" w:rsidP="00B5697F">
      <w:pPr>
        <w:spacing w:line="264" w:lineRule="auto"/>
        <w:jc w:val="center"/>
        <w:rPr>
          <w:rFonts w:ascii="Segoe UI" w:eastAsia="Segoe UI" w:hAnsi="Segoe UI" w:cs="Segoe UI"/>
          <w:b/>
          <w:bCs/>
          <w:color w:val="424242"/>
          <w:sz w:val="19"/>
          <w:szCs w:val="19"/>
        </w:rPr>
      </w:pPr>
    </w:p>
    <w:p w14:paraId="0BFDEAD2" w14:textId="77777777" w:rsidR="00B5697F" w:rsidRPr="000A1C9E" w:rsidRDefault="00B5697F" w:rsidP="00B5697F">
      <w:pPr>
        <w:pStyle w:val="paragraph"/>
        <w:spacing w:before="0" w:beforeAutospacing="0" w:after="0" w:afterAutospacing="0" w:line="264" w:lineRule="auto"/>
        <w:textAlignment w:val="baseline"/>
        <w:rPr>
          <w:rFonts w:ascii="Segoe UI" w:hAnsi="Segoe UI" w:cs="Segoe UI"/>
          <w:sz w:val="19"/>
          <w:szCs w:val="19"/>
        </w:rPr>
      </w:pPr>
      <w:r w:rsidRPr="000A1C9E">
        <w:rPr>
          <w:rStyle w:val="normaltextrun"/>
          <w:rFonts w:ascii="Hitachi Sans" w:eastAsiaTheme="majorEastAsia" w:hAnsi="Hitachi Sans" w:cs="Segoe UI"/>
          <w:b/>
          <w:bCs/>
          <w:sz w:val="19"/>
          <w:szCs w:val="19"/>
        </w:rPr>
        <w:t>About Hitachi Energy</w:t>
      </w:r>
      <w:r w:rsidRPr="000A1C9E">
        <w:rPr>
          <w:rStyle w:val="eop"/>
          <w:rFonts w:ascii="Hitachi Sans" w:eastAsiaTheme="majorEastAsia" w:hAnsi="Hitachi Sans" w:cs="Segoe UI"/>
          <w:sz w:val="19"/>
          <w:szCs w:val="19"/>
        </w:rPr>
        <w:t> </w:t>
      </w:r>
    </w:p>
    <w:p w14:paraId="27264166" w14:textId="77777777" w:rsidR="00B5697F" w:rsidRPr="000A1C9E" w:rsidRDefault="00B5697F" w:rsidP="00B5697F">
      <w:pPr>
        <w:pStyle w:val="paragraph"/>
        <w:spacing w:before="0" w:beforeAutospacing="0" w:after="0" w:afterAutospacing="0" w:line="264" w:lineRule="auto"/>
        <w:textAlignment w:val="baseline"/>
        <w:rPr>
          <w:rFonts w:ascii="Segoe UI" w:hAnsi="Segoe UI" w:cs="Segoe UI"/>
          <w:sz w:val="19"/>
          <w:szCs w:val="19"/>
        </w:rPr>
      </w:pPr>
      <w:r w:rsidRPr="000A1C9E">
        <w:rPr>
          <w:rStyle w:val="normaltextrun"/>
          <w:rFonts w:ascii="Hitachi Sans" w:eastAsiaTheme="majorEastAsia" w:hAnsi="Hitachi Sans" w:cs="Segoe UI"/>
          <w:sz w:val="19"/>
          <w:szCs w:val="19"/>
        </w:rPr>
        <w:t>Hitachi Energy is a global technology leader in electrification, powering a sustainable energy future with innovative power grid technologies with digital at the core. Over three billion people depend on our technologies to power their daily lives. With over a century in pioneering mission-critical technologies like high-voltage, transformers, automation, and power electronics, we are addressing the most urgent energy challenge of our time – balancing soaring electricity demand, while decarbonizing the power system. With an unparalleled</w:t>
      </w:r>
      <w:r w:rsidRPr="000A1C9E">
        <w:rPr>
          <w:rStyle w:val="normaltextrun"/>
          <w:rFonts w:ascii="Cambria Math" w:eastAsiaTheme="majorEastAsia" w:hAnsi="Cambria Math" w:cs="Cambria Math"/>
          <w:sz w:val="19"/>
          <w:szCs w:val="19"/>
          <w:lang w:val="en-GB"/>
        </w:rPr>
        <w:t> </w:t>
      </w:r>
      <w:r w:rsidRPr="000A1C9E">
        <w:rPr>
          <w:rStyle w:val="normaltextrun"/>
          <w:rFonts w:ascii="Hitachi Sans" w:eastAsiaTheme="majorEastAsia" w:hAnsi="Hitachi Sans" w:cs="Segoe UI"/>
          <w:sz w:val="19"/>
          <w:szCs w:val="19"/>
          <w:lang w:val="en-GB"/>
        </w:rPr>
        <w:t>installed base in over 140 countries,</w:t>
      </w:r>
      <w:r w:rsidRPr="000A1C9E">
        <w:rPr>
          <w:rStyle w:val="normaltextrun"/>
          <w:rFonts w:ascii="Cambria Math" w:eastAsiaTheme="majorEastAsia" w:hAnsi="Cambria Math" w:cs="Cambria Math"/>
          <w:sz w:val="19"/>
          <w:szCs w:val="19"/>
          <w:lang w:val="en-GB"/>
        </w:rPr>
        <w:t> </w:t>
      </w:r>
      <w:r w:rsidRPr="000A1C9E">
        <w:rPr>
          <w:rStyle w:val="normaltextrun"/>
          <w:rFonts w:ascii="Hitachi Sans" w:eastAsiaTheme="majorEastAsia" w:hAnsi="Hitachi Sans" w:cs="Segoe UI"/>
          <w:sz w:val="19"/>
          <w:szCs w:val="19"/>
        </w:rPr>
        <w:t>we co-create and build long-term partnerships across the utility, industry, transportation, data centers, and infrastructure sectors. Headquartered in Switzerland, we employ over 50,000 people in 60 countries and generate revenues of around $16 billion USD.</w:t>
      </w:r>
      <w:r w:rsidRPr="000A1C9E">
        <w:rPr>
          <w:rStyle w:val="normaltextrun"/>
          <w:rFonts w:ascii="Cambria Math" w:eastAsiaTheme="majorEastAsia" w:hAnsi="Cambria Math" w:cs="Cambria Math"/>
          <w:sz w:val="19"/>
          <w:szCs w:val="19"/>
        </w:rPr>
        <w:t> </w:t>
      </w:r>
      <w:r w:rsidRPr="000A1C9E">
        <w:rPr>
          <w:rStyle w:val="eop"/>
          <w:rFonts w:ascii="Hitachi Sans" w:eastAsiaTheme="majorEastAsia" w:hAnsi="Hitachi Sans" w:cs="Segoe UI"/>
          <w:sz w:val="19"/>
          <w:szCs w:val="19"/>
        </w:rPr>
        <w:t> </w:t>
      </w:r>
    </w:p>
    <w:p w14:paraId="01A7A7FF" w14:textId="77777777" w:rsidR="00B5697F" w:rsidRPr="000A1C9E" w:rsidRDefault="00C1272F" w:rsidP="00B5697F">
      <w:pPr>
        <w:pStyle w:val="paragraph"/>
        <w:spacing w:before="0" w:beforeAutospacing="0" w:after="0" w:afterAutospacing="0" w:line="264" w:lineRule="auto"/>
        <w:textAlignment w:val="baseline"/>
        <w:rPr>
          <w:rFonts w:ascii="Segoe UI" w:hAnsi="Segoe UI" w:cs="Segoe UI"/>
          <w:sz w:val="19"/>
          <w:szCs w:val="19"/>
        </w:rPr>
      </w:pPr>
      <w:hyperlink r:id="rId17" w:tgtFrame="_blank" w:history="1">
        <w:r w:rsidR="00B5697F" w:rsidRPr="000A1C9E">
          <w:rPr>
            <w:rStyle w:val="normaltextrun"/>
            <w:rFonts w:ascii="Hitachi Sans" w:eastAsiaTheme="majorEastAsia" w:hAnsi="Hitachi Sans" w:cs="Segoe UI"/>
            <w:color w:val="0064FA"/>
            <w:sz w:val="19"/>
            <w:szCs w:val="19"/>
          </w:rPr>
          <w:t>https://www.hitachienergy.com</w:t>
        </w:r>
      </w:hyperlink>
      <w:r w:rsidR="00B5697F" w:rsidRPr="000A1C9E">
        <w:rPr>
          <w:rStyle w:val="normaltextrun"/>
          <w:rFonts w:ascii="Hitachi Sans" w:eastAsiaTheme="majorEastAsia" w:hAnsi="Hitachi Sans" w:cs="Segoe UI"/>
          <w:color w:val="000000"/>
          <w:sz w:val="19"/>
          <w:szCs w:val="19"/>
        </w:rPr>
        <w:t> </w:t>
      </w:r>
      <w:r w:rsidR="00B5697F" w:rsidRPr="000A1C9E">
        <w:rPr>
          <w:rStyle w:val="eop"/>
          <w:rFonts w:ascii="Hitachi Sans" w:eastAsiaTheme="majorEastAsia" w:hAnsi="Hitachi Sans" w:cs="Segoe UI"/>
          <w:color w:val="000000"/>
          <w:sz w:val="19"/>
          <w:szCs w:val="19"/>
        </w:rPr>
        <w:t> </w:t>
      </w:r>
    </w:p>
    <w:p w14:paraId="17E48F1F" w14:textId="77777777" w:rsidR="00B5697F" w:rsidRPr="000A1C9E" w:rsidRDefault="00C1272F" w:rsidP="00B5697F">
      <w:pPr>
        <w:pStyle w:val="paragraph"/>
        <w:spacing w:before="0" w:beforeAutospacing="0" w:after="0" w:afterAutospacing="0" w:line="264" w:lineRule="auto"/>
        <w:textAlignment w:val="baseline"/>
        <w:rPr>
          <w:rFonts w:ascii="Segoe UI" w:hAnsi="Segoe UI" w:cs="Segoe UI"/>
          <w:sz w:val="19"/>
          <w:szCs w:val="19"/>
        </w:rPr>
      </w:pPr>
      <w:hyperlink r:id="rId18" w:tgtFrame="_blank" w:history="1">
        <w:r w:rsidR="00B5697F" w:rsidRPr="000A1C9E">
          <w:rPr>
            <w:rStyle w:val="normaltextrun"/>
            <w:rFonts w:ascii="Hitachi Sans" w:eastAsiaTheme="majorEastAsia" w:hAnsi="Hitachi Sans" w:cs="Segoe UI"/>
            <w:color w:val="0064FA"/>
            <w:sz w:val="19"/>
            <w:szCs w:val="19"/>
          </w:rPr>
          <w:t>https://www.linkedin.com/company/hitachienergy</w:t>
        </w:r>
      </w:hyperlink>
      <w:r w:rsidR="00B5697F" w:rsidRPr="000A1C9E">
        <w:rPr>
          <w:rStyle w:val="normaltextrun"/>
          <w:rFonts w:ascii="Hitachi Sans" w:eastAsiaTheme="majorEastAsia" w:hAnsi="Hitachi Sans" w:cs="Segoe UI"/>
          <w:color w:val="000000"/>
          <w:sz w:val="19"/>
          <w:szCs w:val="19"/>
        </w:rPr>
        <w:t> </w:t>
      </w:r>
      <w:r w:rsidR="00B5697F" w:rsidRPr="000A1C9E">
        <w:rPr>
          <w:rStyle w:val="eop"/>
          <w:rFonts w:ascii="Hitachi Sans" w:eastAsiaTheme="majorEastAsia" w:hAnsi="Hitachi Sans" w:cs="Segoe UI"/>
          <w:color w:val="000000"/>
          <w:sz w:val="19"/>
          <w:szCs w:val="19"/>
        </w:rPr>
        <w:t> </w:t>
      </w:r>
    </w:p>
    <w:p w14:paraId="3653558E" w14:textId="77777777" w:rsidR="00B5697F" w:rsidRPr="000A1C9E" w:rsidRDefault="00C1272F" w:rsidP="00B5697F">
      <w:pPr>
        <w:pStyle w:val="paragraph"/>
        <w:spacing w:before="0" w:beforeAutospacing="0" w:after="0" w:afterAutospacing="0" w:line="264" w:lineRule="auto"/>
        <w:textAlignment w:val="baseline"/>
        <w:rPr>
          <w:rFonts w:ascii="Segoe UI" w:hAnsi="Segoe UI" w:cs="Segoe UI"/>
          <w:sz w:val="19"/>
          <w:szCs w:val="19"/>
          <w:lang w:val="pl-PL"/>
        </w:rPr>
      </w:pPr>
      <w:hyperlink r:id="rId19" w:tgtFrame="_blank" w:history="1">
        <w:r w:rsidR="00B5697F" w:rsidRPr="000A1C9E">
          <w:rPr>
            <w:rStyle w:val="normaltextrun"/>
            <w:rFonts w:ascii="Hitachi Sans" w:eastAsiaTheme="majorEastAsia" w:hAnsi="Hitachi Sans" w:cs="Segoe UI"/>
            <w:color w:val="0064FA"/>
            <w:sz w:val="19"/>
            <w:szCs w:val="19"/>
            <w:lang w:val="pl-PL"/>
          </w:rPr>
          <w:t>https://twitter.com/HitachiEnergy</w:t>
        </w:r>
      </w:hyperlink>
      <w:r w:rsidR="00B5697F" w:rsidRPr="000A1C9E">
        <w:rPr>
          <w:rStyle w:val="eop"/>
          <w:rFonts w:ascii="Hitachi Sans" w:eastAsiaTheme="majorEastAsia" w:hAnsi="Hitachi Sans" w:cs="Segoe UI"/>
          <w:color w:val="000000"/>
          <w:sz w:val="19"/>
          <w:szCs w:val="19"/>
          <w:lang w:val="pl-PL"/>
        </w:rPr>
        <w:t> </w:t>
      </w:r>
    </w:p>
    <w:p w14:paraId="3605FDE5" w14:textId="77777777" w:rsidR="00B5697F" w:rsidRPr="000A1C9E" w:rsidRDefault="00B5697F" w:rsidP="00B5697F">
      <w:pPr>
        <w:pStyle w:val="paragraph"/>
        <w:spacing w:before="0" w:beforeAutospacing="0" w:after="0" w:afterAutospacing="0" w:line="264" w:lineRule="auto"/>
        <w:textAlignment w:val="baseline"/>
        <w:rPr>
          <w:rFonts w:ascii="Segoe UI" w:hAnsi="Segoe UI" w:cs="Segoe UI"/>
          <w:sz w:val="19"/>
          <w:szCs w:val="19"/>
          <w:lang w:val="pl-PL"/>
        </w:rPr>
      </w:pPr>
      <w:r w:rsidRPr="000A1C9E">
        <w:rPr>
          <w:rStyle w:val="eop"/>
          <w:rFonts w:ascii="Hitachi Sans" w:eastAsiaTheme="majorEastAsia" w:hAnsi="Hitachi Sans" w:cs="Segoe UI"/>
          <w:sz w:val="19"/>
          <w:szCs w:val="19"/>
          <w:lang w:val="pl-PL"/>
        </w:rPr>
        <w:t> </w:t>
      </w:r>
    </w:p>
    <w:p w14:paraId="1EE9F922" w14:textId="77777777" w:rsidR="00B5697F" w:rsidRPr="000A1C9E" w:rsidRDefault="00B5697F" w:rsidP="00B5697F">
      <w:pPr>
        <w:pStyle w:val="paragraph"/>
        <w:spacing w:before="0" w:beforeAutospacing="0" w:after="0" w:afterAutospacing="0" w:line="264" w:lineRule="auto"/>
        <w:textAlignment w:val="baseline"/>
        <w:rPr>
          <w:rFonts w:ascii="Segoe UI" w:hAnsi="Segoe UI" w:cs="Segoe UI"/>
          <w:sz w:val="19"/>
          <w:szCs w:val="19"/>
          <w:lang w:val="pl-PL"/>
        </w:rPr>
      </w:pPr>
      <w:r w:rsidRPr="000A1C9E">
        <w:rPr>
          <w:rStyle w:val="normaltextrun"/>
          <w:rFonts w:ascii="Hitachi Sans" w:eastAsiaTheme="majorEastAsia" w:hAnsi="Hitachi Sans" w:cs="Segoe UI"/>
          <w:b/>
          <w:bCs/>
          <w:sz w:val="19"/>
          <w:szCs w:val="19"/>
          <w:lang w:val="pl-PL"/>
        </w:rPr>
        <w:t>About Hitachi, Ltd.</w:t>
      </w:r>
      <w:r w:rsidRPr="000A1C9E">
        <w:rPr>
          <w:rStyle w:val="eop"/>
          <w:rFonts w:ascii="Hitachi Sans" w:eastAsiaTheme="majorEastAsia" w:hAnsi="Hitachi Sans" w:cs="Segoe UI"/>
          <w:sz w:val="19"/>
          <w:szCs w:val="19"/>
          <w:lang w:val="pl-PL"/>
        </w:rPr>
        <w:t> </w:t>
      </w:r>
    </w:p>
    <w:p w14:paraId="11075702" w14:textId="77777777" w:rsidR="00B5697F" w:rsidRPr="000A1C9E" w:rsidRDefault="00B5697F" w:rsidP="00B5697F">
      <w:pPr>
        <w:pStyle w:val="paragraph"/>
        <w:spacing w:before="0" w:beforeAutospacing="0" w:after="0" w:afterAutospacing="0" w:line="264" w:lineRule="auto"/>
        <w:textAlignment w:val="baseline"/>
        <w:rPr>
          <w:rFonts w:ascii="Segoe UI" w:hAnsi="Segoe UI" w:cs="Segoe UI"/>
          <w:sz w:val="19"/>
          <w:szCs w:val="19"/>
        </w:rPr>
      </w:pPr>
      <w:r w:rsidRPr="000A1C9E">
        <w:rPr>
          <w:rStyle w:val="normaltextrun"/>
          <w:rFonts w:ascii="Hitachi Sans" w:eastAsiaTheme="majorEastAsia" w:hAnsi="Hitachi Sans" w:cs="Segoe UI"/>
          <w:sz w:val="19"/>
          <w:szCs w:val="19"/>
        </w:rPr>
        <w:t xml:space="preserve">Through its Social Innovation Business (SIB) that brings together IT, OT (Operational Technology) and products, Hitachi contributes to a harmonized society where the environment, wellbeing, and economic growth are in balance. Hitachi operates globally in four sectors – Digital Systems &amp; Services, Energy, Mobility, and Connective Industries – and the Strategic SIB Business Unit for new growth businesses. With Lumada at its core, Hitachi generates value from integrating data, technology and domain knowledge to solve customer and social challenges. Revenues for FY2024 (ended March 31, 2025) totaled 9,783.3 billion yen, with 618 consolidated subsidiaries and approximately 280,000 employees worldwide. Visit us at </w:t>
      </w:r>
      <w:hyperlink r:id="rId20" w:tgtFrame="_blank" w:history="1">
        <w:r w:rsidRPr="000A1C9E">
          <w:rPr>
            <w:rStyle w:val="normaltextrun"/>
            <w:rFonts w:ascii="Hitachi Sans" w:eastAsiaTheme="majorEastAsia" w:hAnsi="Hitachi Sans" w:cs="Segoe UI"/>
            <w:color w:val="0064FA"/>
            <w:sz w:val="19"/>
            <w:szCs w:val="19"/>
          </w:rPr>
          <w:t>www.hitachi.com.</w:t>
        </w:r>
      </w:hyperlink>
      <w:r w:rsidRPr="000A1C9E">
        <w:rPr>
          <w:rStyle w:val="eop"/>
          <w:rFonts w:ascii="Hitachi Sans" w:eastAsiaTheme="majorEastAsia" w:hAnsi="Hitachi Sans" w:cs="Segoe UI"/>
          <w:sz w:val="19"/>
          <w:szCs w:val="19"/>
        </w:rPr>
        <w:t> </w:t>
      </w:r>
    </w:p>
    <w:p w14:paraId="61A1B068" w14:textId="77777777" w:rsidR="00B5697F" w:rsidRPr="000A1C9E" w:rsidRDefault="00B5697F" w:rsidP="00B5697F">
      <w:pPr>
        <w:pStyle w:val="paragraph"/>
        <w:spacing w:before="0" w:beforeAutospacing="0" w:after="0" w:afterAutospacing="0" w:line="264" w:lineRule="auto"/>
        <w:textAlignment w:val="baseline"/>
        <w:rPr>
          <w:rFonts w:ascii="Segoe UI" w:hAnsi="Segoe UI" w:cs="Segoe UI"/>
          <w:sz w:val="19"/>
          <w:szCs w:val="19"/>
        </w:rPr>
      </w:pPr>
      <w:r w:rsidRPr="000A1C9E">
        <w:rPr>
          <w:rStyle w:val="eop"/>
          <w:rFonts w:ascii="Hitachi Sans" w:eastAsiaTheme="majorEastAsia" w:hAnsi="Hitachi Sans" w:cs="Segoe UI"/>
          <w:sz w:val="19"/>
          <w:szCs w:val="19"/>
        </w:rPr>
        <w:t> </w:t>
      </w:r>
    </w:p>
    <w:p w14:paraId="12F966F7" w14:textId="77777777" w:rsidR="00B5697F" w:rsidRPr="000A1C9E" w:rsidRDefault="00B5697F" w:rsidP="00B5697F">
      <w:pPr>
        <w:pStyle w:val="paragraph"/>
        <w:spacing w:before="0" w:beforeAutospacing="0" w:after="0" w:afterAutospacing="0" w:line="264" w:lineRule="auto"/>
        <w:textAlignment w:val="baseline"/>
        <w:rPr>
          <w:rFonts w:ascii="Segoe UI" w:hAnsi="Segoe UI" w:cs="Segoe UI"/>
          <w:sz w:val="19"/>
          <w:szCs w:val="19"/>
        </w:rPr>
      </w:pPr>
      <w:r w:rsidRPr="000A1C9E">
        <w:rPr>
          <w:rStyle w:val="eop"/>
          <w:rFonts w:ascii="Hitachi Sans" w:eastAsiaTheme="majorEastAsia" w:hAnsi="Hitachi Sans" w:cs="Segoe UI"/>
          <w:sz w:val="19"/>
          <w:szCs w:val="19"/>
        </w:rPr>
        <w:t> </w:t>
      </w:r>
    </w:p>
    <w:p w14:paraId="04EFDBC3" w14:textId="77777777" w:rsidR="00B5697F" w:rsidRPr="000A1C9E" w:rsidRDefault="00B5697F" w:rsidP="00B5697F">
      <w:pPr>
        <w:pStyle w:val="paragraph"/>
        <w:spacing w:before="0" w:beforeAutospacing="0" w:after="0" w:afterAutospacing="0" w:line="264" w:lineRule="auto"/>
        <w:textAlignment w:val="baseline"/>
        <w:rPr>
          <w:rFonts w:ascii="Segoe UI" w:hAnsi="Segoe UI" w:cs="Segoe UI"/>
          <w:sz w:val="19"/>
          <w:szCs w:val="19"/>
        </w:rPr>
      </w:pPr>
      <w:r w:rsidRPr="000A1C9E">
        <w:rPr>
          <w:rStyle w:val="normaltextrun"/>
          <w:rFonts w:ascii="Hitachi Sans" w:eastAsiaTheme="majorEastAsia" w:hAnsi="Hitachi Sans" w:cs="Segoe UI"/>
          <w:b/>
          <w:bCs/>
          <w:sz w:val="19"/>
          <w:szCs w:val="19"/>
        </w:rPr>
        <w:t>Media contact</w:t>
      </w:r>
      <w:r w:rsidRPr="000A1C9E">
        <w:rPr>
          <w:rStyle w:val="eop"/>
          <w:rFonts w:ascii="Hitachi Sans" w:eastAsiaTheme="majorEastAsia" w:hAnsi="Hitachi Sans" w:cs="Segoe UI"/>
          <w:sz w:val="19"/>
          <w:szCs w:val="19"/>
        </w:rPr>
        <w:t> </w:t>
      </w:r>
    </w:p>
    <w:p w14:paraId="310262D7" w14:textId="33908C88" w:rsidR="00984BE4" w:rsidRPr="000A1C9E" w:rsidRDefault="00B5697F" w:rsidP="000F44C5">
      <w:pPr>
        <w:pStyle w:val="paragraph"/>
        <w:spacing w:before="0" w:beforeAutospacing="0" w:after="0" w:afterAutospacing="0" w:line="264" w:lineRule="auto"/>
        <w:textAlignment w:val="baseline"/>
        <w:rPr>
          <w:sz w:val="19"/>
          <w:szCs w:val="19"/>
          <w:lang w:eastAsia="ja-JP"/>
        </w:rPr>
      </w:pPr>
      <w:r w:rsidRPr="000A1C9E">
        <w:rPr>
          <w:rStyle w:val="normaltextrun"/>
          <w:rFonts w:ascii="Hitachi Sans" w:eastAsiaTheme="majorEastAsia" w:hAnsi="Hitachi Sans" w:cs="Segoe UI"/>
          <w:sz w:val="19"/>
          <w:szCs w:val="19"/>
        </w:rPr>
        <w:t>media.relations@hitachienergy.com</w:t>
      </w:r>
      <w:r w:rsidRPr="000A1C9E">
        <w:rPr>
          <w:rStyle w:val="eop"/>
          <w:rFonts w:ascii="Hitachi Sans" w:eastAsiaTheme="majorEastAsia" w:hAnsi="Hitachi Sans" w:cs="Segoe UI"/>
          <w:sz w:val="19"/>
          <w:szCs w:val="19"/>
        </w:rPr>
        <w:t> </w:t>
      </w:r>
    </w:p>
    <w:sectPr w:rsidR="00984BE4" w:rsidRPr="000A1C9E" w:rsidSect="00622068">
      <w:headerReference w:type="default" r:id="rId21"/>
      <w:footerReference w:type="default" r:id="rId22"/>
      <w:headerReference w:type="first" r:id="rId23"/>
      <w:footerReference w:type="first" r:id="rId24"/>
      <w:footnotePr>
        <w:pos w:val="beneathText"/>
      </w:footnotePr>
      <w:pgSz w:w="11901" w:h="16834" w:code="148"/>
      <w:pgMar w:top="822" w:right="822" w:bottom="822" w:left="822" w:header="454" w:footer="6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AF51F" w14:textId="77777777" w:rsidR="00C1272F" w:rsidRDefault="00C1272F" w:rsidP="00FA4B70">
      <w:pPr>
        <w:spacing w:line="240" w:lineRule="auto"/>
      </w:pPr>
      <w:r>
        <w:separator/>
      </w:r>
    </w:p>
  </w:endnote>
  <w:endnote w:type="continuationSeparator" w:id="0">
    <w:p w14:paraId="3BE01F27" w14:textId="77777777" w:rsidR="00C1272F" w:rsidRDefault="00C1272F" w:rsidP="00FA4B70">
      <w:pPr>
        <w:spacing w:line="240" w:lineRule="auto"/>
      </w:pPr>
      <w:r>
        <w:continuationSeparator/>
      </w:r>
    </w:p>
  </w:endnote>
  <w:endnote w:type="continuationNotice" w:id="1">
    <w:p w14:paraId="51198B2B" w14:textId="77777777" w:rsidR="00C1272F" w:rsidRDefault="00C127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tachi Sans">
    <w:altName w:val="Calibri"/>
    <w:panose1 w:val="00000000000000000000"/>
    <w:charset w:val="00"/>
    <w:family w:val="modern"/>
    <w:notTrueType/>
    <w:pitch w:val="variable"/>
    <w:sig w:usb0="A00000EF" w:usb1="4000A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2E1973E5-5394-4768-BC93-BE2609D2DF9B}"/>
  </w:font>
  <w:font w:name="Segoe UI">
    <w:panose1 w:val="020B0502040204020203"/>
    <w:charset w:val="00"/>
    <w:family w:val="swiss"/>
    <w:pitch w:val="variable"/>
    <w:sig w:usb0="E4002EFF" w:usb1="C000E47F" w:usb2="00000009" w:usb3="00000000" w:csb0="000001FF" w:csb1="00000000"/>
    <w:embedRegular r:id="rId2" w:fontKey="{B425EC9B-3564-4DFE-A993-781F296DE88A}"/>
    <w:embedBold r:id="rId3" w:fontKey="{5E0A7C4D-4291-4648-8E86-F581560B35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4F0C" w14:textId="28EB6F9E" w:rsidR="00FA4B70" w:rsidRPr="0096684F" w:rsidRDefault="0096684F" w:rsidP="00C9691E">
    <w:pPr>
      <w:pStyle w:val="Footer"/>
      <w:tabs>
        <w:tab w:val="clear" w:pos="4513"/>
        <w:tab w:val="clear" w:pos="9026"/>
        <w:tab w:val="left" w:pos="582"/>
        <w:tab w:val="right" w:pos="10257"/>
      </w:tabs>
    </w:pPr>
    <w:r w:rsidRPr="00BC7C3C">
      <w:rPr>
        <w:rStyle w:val="PageNumber"/>
        <w:b/>
      </w:rPr>
      <w:fldChar w:fldCharType="begin"/>
    </w:r>
    <w:r w:rsidRPr="00BC7C3C">
      <w:rPr>
        <w:rStyle w:val="PageNumber"/>
        <w:b/>
      </w:rPr>
      <w:instrText xml:space="preserve"> PAGE </w:instrText>
    </w:r>
    <w:r w:rsidRPr="00BC7C3C">
      <w:rPr>
        <w:rStyle w:val="PageNumber"/>
        <w:b/>
      </w:rPr>
      <w:fldChar w:fldCharType="separate"/>
    </w:r>
    <w:r>
      <w:rPr>
        <w:rStyle w:val="PageNumber"/>
      </w:rPr>
      <w:t>1</w:t>
    </w:r>
    <w:r w:rsidRPr="00BC7C3C">
      <w:rPr>
        <w:rStyle w:val="PageNumber"/>
        <w:b/>
      </w:rPr>
      <w:fldChar w:fldCharType="end"/>
    </w:r>
    <w:r w:rsidRPr="00BC7C3C">
      <w:rPr>
        <w:rStyle w:val="PageNumber"/>
        <w:b/>
      </w:rPr>
      <w:t>/</w:t>
    </w:r>
    <w:r w:rsidRPr="00BC7C3C">
      <w:rPr>
        <w:rStyle w:val="PageNumber"/>
        <w:b/>
      </w:rPr>
      <w:fldChar w:fldCharType="begin"/>
    </w:r>
    <w:r w:rsidRPr="00BC7C3C">
      <w:rPr>
        <w:rStyle w:val="PageNumber"/>
        <w:b/>
      </w:rPr>
      <w:instrText xml:space="preserve"> NUMPAGES </w:instrText>
    </w:r>
    <w:r w:rsidRPr="00BC7C3C">
      <w:rPr>
        <w:rStyle w:val="PageNumber"/>
        <w:b/>
      </w:rPr>
      <w:fldChar w:fldCharType="separate"/>
    </w:r>
    <w:r>
      <w:rPr>
        <w:rStyle w:val="PageNumber"/>
      </w:rPr>
      <w:t>2</w:t>
    </w:r>
    <w:r w:rsidRPr="00BC7C3C">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C5DD" w14:textId="25B66372" w:rsidR="00693F10" w:rsidRPr="00E1698F" w:rsidRDefault="00C1272F" w:rsidP="002B3E67">
    <w:pPr>
      <w:pStyle w:val="Footer"/>
      <w:tabs>
        <w:tab w:val="clear" w:pos="4513"/>
        <w:tab w:val="clear" w:pos="9026"/>
        <w:tab w:val="left" w:pos="1306"/>
      </w:tabs>
      <w:rPr>
        <w:rStyle w:val="PageNumber"/>
        <w:rFonts w:ascii="Hitachi Sans" w:hAnsi="Hitachi Sans"/>
        <w:b/>
      </w:rPr>
    </w:pPr>
    <w:sdt>
      <w:sdtPr>
        <w:rPr>
          <w:rFonts w:asciiTheme="minorHAnsi" w:hAnsiTheme="minorHAnsi"/>
          <w:b w:val="0"/>
        </w:rPr>
        <w:id w:val="-964509456"/>
        <w:docPartObj>
          <w:docPartGallery w:val="Page Numbers (Bottom of Page)"/>
          <w:docPartUnique/>
        </w:docPartObj>
      </w:sdtPr>
      <w:sdtEndPr>
        <w:rPr>
          <w:rFonts w:ascii="Hitachi Sans" w:hAnsi="Hitachi Sans"/>
          <w:b/>
        </w:rPr>
      </w:sdtEndPr>
      <w:sdtContent>
        <w:sdt>
          <w:sdtPr>
            <w:rPr>
              <w:rFonts w:asciiTheme="minorHAnsi" w:hAnsiTheme="minorHAnsi"/>
              <w:b w:val="0"/>
            </w:rPr>
            <w:id w:val="-1705238520"/>
            <w:docPartObj>
              <w:docPartGallery w:val="Page Numbers (Top of Page)"/>
              <w:docPartUnique/>
            </w:docPartObj>
          </w:sdtPr>
          <w:sdtEndPr>
            <w:rPr>
              <w:rFonts w:ascii="Hitachi Sans" w:hAnsi="Hitachi Sans"/>
              <w:b/>
            </w:rPr>
          </w:sdtEndPr>
          <w:sdtContent>
            <w:r w:rsidR="00E1698F">
              <w:rPr>
                <w:b w:val="0"/>
                <w:bCs/>
                <w:sz w:val="24"/>
                <w:szCs w:val="24"/>
              </w:rPr>
              <w:fldChar w:fldCharType="begin"/>
            </w:r>
            <w:r w:rsidR="00E1698F">
              <w:rPr>
                <w:bCs/>
              </w:rPr>
              <w:instrText>PAGE</w:instrText>
            </w:r>
            <w:r w:rsidR="00E1698F">
              <w:rPr>
                <w:b w:val="0"/>
                <w:bCs/>
                <w:sz w:val="24"/>
                <w:szCs w:val="24"/>
              </w:rPr>
              <w:fldChar w:fldCharType="separate"/>
            </w:r>
            <w:r w:rsidR="00E1698F">
              <w:rPr>
                <w:bCs/>
                <w:lang w:val="ja-JP" w:eastAsia="ja-JP"/>
              </w:rPr>
              <w:t>2</w:t>
            </w:r>
            <w:r w:rsidR="00E1698F">
              <w:rPr>
                <w:b w:val="0"/>
                <w:bCs/>
                <w:sz w:val="24"/>
                <w:szCs w:val="24"/>
              </w:rPr>
              <w:fldChar w:fldCharType="end"/>
            </w:r>
            <w:r w:rsidR="00E1698F">
              <w:rPr>
                <w:lang w:val="ja-JP" w:eastAsia="ja-JP"/>
              </w:rPr>
              <w:t>/</w:t>
            </w:r>
            <w:r w:rsidR="00E1698F">
              <w:rPr>
                <w:b w:val="0"/>
                <w:bCs/>
                <w:sz w:val="24"/>
                <w:szCs w:val="24"/>
              </w:rPr>
              <w:fldChar w:fldCharType="begin"/>
            </w:r>
            <w:r w:rsidR="00E1698F">
              <w:rPr>
                <w:bCs/>
              </w:rPr>
              <w:instrText>NUMPAGES</w:instrText>
            </w:r>
            <w:r w:rsidR="00E1698F">
              <w:rPr>
                <w:b w:val="0"/>
                <w:bCs/>
                <w:sz w:val="24"/>
                <w:szCs w:val="24"/>
              </w:rPr>
              <w:fldChar w:fldCharType="separate"/>
            </w:r>
            <w:r w:rsidR="00E1698F">
              <w:rPr>
                <w:bCs/>
                <w:lang w:val="ja-JP" w:eastAsia="ja-JP"/>
              </w:rPr>
              <w:t>2</w:t>
            </w:r>
            <w:r w:rsidR="00E1698F">
              <w:rPr>
                <w:b w:val="0"/>
                <w:bCs/>
                <w:sz w:val="24"/>
                <w:szCs w:val="24"/>
              </w:rPr>
              <w:fldChar w:fldCharType="end"/>
            </w:r>
          </w:sdtContent>
        </w:sdt>
      </w:sdtContent>
    </w:sdt>
    <w:r w:rsidR="002B3E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2FED4" w14:textId="77777777" w:rsidR="00C1272F" w:rsidRDefault="00C1272F" w:rsidP="00FA4B70">
      <w:pPr>
        <w:spacing w:line="240" w:lineRule="auto"/>
      </w:pPr>
      <w:r>
        <w:separator/>
      </w:r>
    </w:p>
  </w:footnote>
  <w:footnote w:type="continuationSeparator" w:id="0">
    <w:p w14:paraId="5E859DAE" w14:textId="77777777" w:rsidR="00C1272F" w:rsidRDefault="00C1272F" w:rsidP="00FA4B70">
      <w:pPr>
        <w:spacing w:line="240" w:lineRule="auto"/>
      </w:pPr>
      <w:r>
        <w:continuationSeparator/>
      </w:r>
    </w:p>
  </w:footnote>
  <w:footnote w:type="continuationNotice" w:id="1">
    <w:p w14:paraId="3F43361C" w14:textId="77777777" w:rsidR="00C1272F" w:rsidRDefault="00C127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15"/>
      <w:gridCol w:w="3415"/>
      <w:gridCol w:w="3415"/>
    </w:tblGrid>
    <w:tr w:rsidR="2B0E5E0E" w14:paraId="4154885A" w14:textId="77777777" w:rsidTr="004D13A3">
      <w:trPr>
        <w:trHeight w:val="300"/>
      </w:trPr>
      <w:tc>
        <w:tcPr>
          <w:tcW w:w="3415" w:type="dxa"/>
        </w:tcPr>
        <w:p w14:paraId="490D020C" w14:textId="18B16722" w:rsidR="2B0E5E0E" w:rsidRDefault="2B0E5E0E" w:rsidP="004D13A3">
          <w:pPr>
            <w:pStyle w:val="Header"/>
            <w:ind w:left="-115"/>
          </w:pPr>
        </w:p>
      </w:tc>
      <w:tc>
        <w:tcPr>
          <w:tcW w:w="3415" w:type="dxa"/>
        </w:tcPr>
        <w:p w14:paraId="27F9B2CD" w14:textId="32410699" w:rsidR="2B0E5E0E" w:rsidRDefault="2B0E5E0E" w:rsidP="004D13A3">
          <w:pPr>
            <w:pStyle w:val="Header"/>
            <w:jc w:val="center"/>
          </w:pPr>
        </w:p>
      </w:tc>
      <w:tc>
        <w:tcPr>
          <w:tcW w:w="3415" w:type="dxa"/>
        </w:tcPr>
        <w:p w14:paraId="5AABFFE4" w14:textId="51FCA023" w:rsidR="2B0E5E0E" w:rsidRDefault="2B0E5E0E" w:rsidP="004D13A3">
          <w:pPr>
            <w:pStyle w:val="Header"/>
            <w:ind w:right="-115"/>
            <w:jc w:val="right"/>
          </w:pPr>
        </w:p>
      </w:tc>
    </w:tr>
  </w:tbl>
  <w:p w14:paraId="5D909987" w14:textId="1B6D4E13" w:rsidR="2B0E5E0E" w:rsidRDefault="2B0E5E0E" w:rsidP="004D13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5670" w:bottomFromText="397" w:vertAnchor="page" w:tblpY="7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69"/>
    </w:tblGrid>
    <w:tr w:rsidR="009655BC" w:rsidRPr="00AA19AA" w14:paraId="5EA8E5DE" w14:textId="77777777">
      <w:trPr>
        <w:trHeight w:hRule="exact" w:val="850"/>
      </w:trPr>
      <w:tc>
        <w:tcPr>
          <w:tcW w:w="5669" w:type="dxa"/>
        </w:tcPr>
        <w:p w14:paraId="1CA55DF9" w14:textId="21AE9B41" w:rsidR="009655BC" w:rsidRPr="00AA19AA" w:rsidRDefault="009655BC" w:rsidP="009655BC">
          <w:pPr>
            <w:pStyle w:val="NewsRelease"/>
            <w:framePr w:hSpace="0" w:wrap="auto" w:vAnchor="margin" w:yAlign="inline"/>
            <w:suppressOverlap w:val="0"/>
          </w:pPr>
          <w:r w:rsidRPr="00AA19AA">
            <w:t>News Release</w:t>
          </w:r>
        </w:p>
        <w:p w14:paraId="0F12C8AA" w14:textId="77777777" w:rsidR="009655BC" w:rsidRPr="00AA19AA" w:rsidRDefault="009655BC" w:rsidP="009655BC">
          <w:pPr>
            <w:pStyle w:val="NewsRelease"/>
            <w:framePr w:hSpace="0" w:wrap="auto" w:vAnchor="margin" w:yAlign="inline"/>
            <w:suppressOverlap w:val="0"/>
          </w:pPr>
          <w:r w:rsidRPr="00AA19AA">
            <w:rPr>
              <w:color w:val="FA000F" w:themeColor="accent1"/>
            </w:rPr>
            <w:t>For Immediate Release</w:t>
          </w:r>
        </w:p>
      </w:tc>
    </w:tr>
  </w:tbl>
  <w:p w14:paraId="456314DC" w14:textId="108753C3" w:rsidR="00693F10" w:rsidRPr="00693F10" w:rsidRDefault="009655BC" w:rsidP="00693F10">
    <w:pPr>
      <w:pStyle w:val="Header"/>
    </w:pPr>
    <w:r>
      <w:rPr>
        <w:noProof/>
      </w:rPr>
      <w:t xml:space="preserve"> </w:t>
    </w:r>
    <w:r w:rsidR="00693F10">
      <w:rPr>
        <w:noProof/>
      </w:rPr>
      <w:drawing>
        <wp:anchor distT="0" distB="0" distL="114300" distR="114300" simplePos="0" relativeHeight="251658240" behindDoc="0" locked="1" layoutInCell="1" allowOverlap="0" wp14:anchorId="136B7FF2" wp14:editId="0E2CF637">
          <wp:simplePos x="0" y="0"/>
          <wp:positionH relativeFrom="page">
            <wp:posOffset>4781550</wp:posOffset>
          </wp:positionH>
          <wp:positionV relativeFrom="page">
            <wp:posOffset>431800</wp:posOffset>
          </wp:positionV>
          <wp:extent cx="2336400" cy="518400"/>
          <wp:effectExtent l="0" t="0" r="0" b="0"/>
          <wp:wrapNone/>
          <wp:docPr id="119943367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49930" name="Graphic 949049930"/>
                  <pic:cNvPicPr/>
                </pic:nvPicPr>
                <pic:blipFill>
                  <a:blip r:embed="rId1">
                    <a:extLst>
                      <a:ext uri="{96DAC541-7B7A-43D3-8B79-37D633B846F1}">
                        <asvg:svgBlip xmlns:asvg="http://schemas.microsoft.com/office/drawing/2016/SVG/main" r:embed="rId2"/>
                      </a:ext>
                    </a:extLst>
                  </a:blip>
                  <a:stretch>
                    <a:fillRect/>
                  </a:stretch>
                </pic:blipFill>
                <pic:spPr>
                  <a:xfrm>
                    <a:off x="0" y="0"/>
                    <a:ext cx="23364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35E99"/>
    <w:multiLevelType w:val="hybridMultilevel"/>
    <w:tmpl w:val="6D18CC76"/>
    <w:lvl w:ilvl="0" w:tplc="701A0C14">
      <w:start w:val="1"/>
      <w:numFmt w:val="bullet"/>
      <w:pStyle w:val="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1sjQBIlNjS3NDSyUdpeDU4uLM/DyQAkODWgBG1ee2LQAAAA=="/>
  </w:docVars>
  <w:rsids>
    <w:rsidRoot w:val="006C49D5"/>
    <w:rsid w:val="00017F1E"/>
    <w:rsid w:val="00027CCC"/>
    <w:rsid w:val="00030A61"/>
    <w:rsid w:val="000433F4"/>
    <w:rsid w:val="00046848"/>
    <w:rsid w:val="00053579"/>
    <w:rsid w:val="000601A4"/>
    <w:rsid w:val="00066AD4"/>
    <w:rsid w:val="000715E6"/>
    <w:rsid w:val="0008097E"/>
    <w:rsid w:val="000822DB"/>
    <w:rsid w:val="000925ED"/>
    <w:rsid w:val="000949A1"/>
    <w:rsid w:val="000A1C9E"/>
    <w:rsid w:val="000C0560"/>
    <w:rsid w:val="000E4C14"/>
    <w:rsid w:val="000E7A71"/>
    <w:rsid w:val="000F44C5"/>
    <w:rsid w:val="00106649"/>
    <w:rsid w:val="001147F7"/>
    <w:rsid w:val="001177F8"/>
    <w:rsid w:val="00134638"/>
    <w:rsid w:val="00141276"/>
    <w:rsid w:val="001544CE"/>
    <w:rsid w:val="00166323"/>
    <w:rsid w:val="00181E68"/>
    <w:rsid w:val="00187248"/>
    <w:rsid w:val="001937E8"/>
    <w:rsid w:val="001A1E8E"/>
    <w:rsid w:val="001B6BDC"/>
    <w:rsid w:val="001B7EA5"/>
    <w:rsid w:val="001C1B1D"/>
    <w:rsid w:val="001C2488"/>
    <w:rsid w:val="001C43F8"/>
    <w:rsid w:val="001C78AB"/>
    <w:rsid w:val="001F0BDB"/>
    <w:rsid w:val="002134FB"/>
    <w:rsid w:val="00216649"/>
    <w:rsid w:val="00235F77"/>
    <w:rsid w:val="00237EEB"/>
    <w:rsid w:val="0024291D"/>
    <w:rsid w:val="00255F6C"/>
    <w:rsid w:val="00272EF9"/>
    <w:rsid w:val="00275C01"/>
    <w:rsid w:val="002767CF"/>
    <w:rsid w:val="0028419A"/>
    <w:rsid w:val="002A41D2"/>
    <w:rsid w:val="002A5914"/>
    <w:rsid w:val="002B3E67"/>
    <w:rsid w:val="002B5413"/>
    <w:rsid w:val="002B598B"/>
    <w:rsid w:val="002B79A1"/>
    <w:rsid w:val="002E4A02"/>
    <w:rsid w:val="002F187B"/>
    <w:rsid w:val="002F2B1D"/>
    <w:rsid w:val="002F2D0C"/>
    <w:rsid w:val="003000D8"/>
    <w:rsid w:val="00306D31"/>
    <w:rsid w:val="0031688A"/>
    <w:rsid w:val="00355F4C"/>
    <w:rsid w:val="0038352C"/>
    <w:rsid w:val="003867F5"/>
    <w:rsid w:val="00390A63"/>
    <w:rsid w:val="00390DD4"/>
    <w:rsid w:val="00393794"/>
    <w:rsid w:val="003A2EA7"/>
    <w:rsid w:val="003A3867"/>
    <w:rsid w:val="003B2757"/>
    <w:rsid w:val="003B554A"/>
    <w:rsid w:val="003B7A91"/>
    <w:rsid w:val="003C371D"/>
    <w:rsid w:val="003C3BB6"/>
    <w:rsid w:val="003D1F30"/>
    <w:rsid w:val="003D26DC"/>
    <w:rsid w:val="003D27E8"/>
    <w:rsid w:val="003E3ACD"/>
    <w:rsid w:val="00401AA7"/>
    <w:rsid w:val="00402F98"/>
    <w:rsid w:val="00403E89"/>
    <w:rsid w:val="00414B7B"/>
    <w:rsid w:val="00432569"/>
    <w:rsid w:val="00460F0E"/>
    <w:rsid w:val="00480C16"/>
    <w:rsid w:val="00484210"/>
    <w:rsid w:val="00484881"/>
    <w:rsid w:val="004A1EAF"/>
    <w:rsid w:val="004A36F0"/>
    <w:rsid w:val="004A4F3A"/>
    <w:rsid w:val="004B40AE"/>
    <w:rsid w:val="004C3A06"/>
    <w:rsid w:val="004D13A3"/>
    <w:rsid w:val="004E5856"/>
    <w:rsid w:val="004F147D"/>
    <w:rsid w:val="005364EF"/>
    <w:rsid w:val="00536FAB"/>
    <w:rsid w:val="00537F34"/>
    <w:rsid w:val="0054115F"/>
    <w:rsid w:val="00541DBA"/>
    <w:rsid w:val="00547117"/>
    <w:rsid w:val="00560897"/>
    <w:rsid w:val="00575A3F"/>
    <w:rsid w:val="00583C0F"/>
    <w:rsid w:val="0059011D"/>
    <w:rsid w:val="00592B47"/>
    <w:rsid w:val="005A18C1"/>
    <w:rsid w:val="005B2C39"/>
    <w:rsid w:val="005B56A2"/>
    <w:rsid w:val="005C58B5"/>
    <w:rsid w:val="005F297D"/>
    <w:rsid w:val="005F58E9"/>
    <w:rsid w:val="005F62FF"/>
    <w:rsid w:val="00605E2A"/>
    <w:rsid w:val="00606F9D"/>
    <w:rsid w:val="00616EC7"/>
    <w:rsid w:val="00622068"/>
    <w:rsid w:val="0063547D"/>
    <w:rsid w:val="00635753"/>
    <w:rsid w:val="006362C4"/>
    <w:rsid w:val="0064453A"/>
    <w:rsid w:val="0065391F"/>
    <w:rsid w:val="0066088A"/>
    <w:rsid w:val="00662DBB"/>
    <w:rsid w:val="006725AB"/>
    <w:rsid w:val="00693F10"/>
    <w:rsid w:val="00697782"/>
    <w:rsid w:val="006A2A6F"/>
    <w:rsid w:val="006A5404"/>
    <w:rsid w:val="006A7435"/>
    <w:rsid w:val="006B20ED"/>
    <w:rsid w:val="006C0EB2"/>
    <w:rsid w:val="006C49D5"/>
    <w:rsid w:val="006C6264"/>
    <w:rsid w:val="006E497A"/>
    <w:rsid w:val="006F3C7F"/>
    <w:rsid w:val="00713177"/>
    <w:rsid w:val="0073047D"/>
    <w:rsid w:val="00745A0E"/>
    <w:rsid w:val="0074651D"/>
    <w:rsid w:val="00751C67"/>
    <w:rsid w:val="00766DDF"/>
    <w:rsid w:val="007671CF"/>
    <w:rsid w:val="00773B11"/>
    <w:rsid w:val="00786F31"/>
    <w:rsid w:val="007A6B49"/>
    <w:rsid w:val="007C0E1C"/>
    <w:rsid w:val="007E0F43"/>
    <w:rsid w:val="007E75B6"/>
    <w:rsid w:val="007F0CF9"/>
    <w:rsid w:val="008019B7"/>
    <w:rsid w:val="008029CA"/>
    <w:rsid w:val="0080626E"/>
    <w:rsid w:val="0082187E"/>
    <w:rsid w:val="00824452"/>
    <w:rsid w:val="00826A14"/>
    <w:rsid w:val="00827C53"/>
    <w:rsid w:val="0083349E"/>
    <w:rsid w:val="00855739"/>
    <w:rsid w:val="008758D0"/>
    <w:rsid w:val="0088778B"/>
    <w:rsid w:val="0089232F"/>
    <w:rsid w:val="008B1747"/>
    <w:rsid w:val="008B7BEC"/>
    <w:rsid w:val="008C0DE8"/>
    <w:rsid w:val="008D1AAA"/>
    <w:rsid w:val="008D74F6"/>
    <w:rsid w:val="00904939"/>
    <w:rsid w:val="00905645"/>
    <w:rsid w:val="0090747C"/>
    <w:rsid w:val="00911C90"/>
    <w:rsid w:val="009228FB"/>
    <w:rsid w:val="00926618"/>
    <w:rsid w:val="00932043"/>
    <w:rsid w:val="00944F0A"/>
    <w:rsid w:val="00947DA3"/>
    <w:rsid w:val="00957A68"/>
    <w:rsid w:val="009621A8"/>
    <w:rsid w:val="009655BC"/>
    <w:rsid w:val="009663A0"/>
    <w:rsid w:val="0096684F"/>
    <w:rsid w:val="00983621"/>
    <w:rsid w:val="00984BE4"/>
    <w:rsid w:val="00986672"/>
    <w:rsid w:val="00997FB9"/>
    <w:rsid w:val="009A4DE6"/>
    <w:rsid w:val="009A5CBF"/>
    <w:rsid w:val="009B1255"/>
    <w:rsid w:val="009B3942"/>
    <w:rsid w:val="009B5844"/>
    <w:rsid w:val="009C0E3E"/>
    <w:rsid w:val="009D3D06"/>
    <w:rsid w:val="009D6750"/>
    <w:rsid w:val="009E4912"/>
    <w:rsid w:val="009F549F"/>
    <w:rsid w:val="00A012C8"/>
    <w:rsid w:val="00A049D2"/>
    <w:rsid w:val="00A176C7"/>
    <w:rsid w:val="00A27EFF"/>
    <w:rsid w:val="00A31DDE"/>
    <w:rsid w:val="00A36863"/>
    <w:rsid w:val="00A4303B"/>
    <w:rsid w:val="00A45E10"/>
    <w:rsid w:val="00A46324"/>
    <w:rsid w:val="00A8177C"/>
    <w:rsid w:val="00A97ED3"/>
    <w:rsid w:val="00AA19AA"/>
    <w:rsid w:val="00AB0BDB"/>
    <w:rsid w:val="00AB2CC2"/>
    <w:rsid w:val="00AB4EBF"/>
    <w:rsid w:val="00AD118F"/>
    <w:rsid w:val="00AE29D0"/>
    <w:rsid w:val="00B259E1"/>
    <w:rsid w:val="00B36B08"/>
    <w:rsid w:val="00B5697F"/>
    <w:rsid w:val="00B57FB9"/>
    <w:rsid w:val="00B60E3C"/>
    <w:rsid w:val="00B63BB3"/>
    <w:rsid w:val="00B82BC9"/>
    <w:rsid w:val="00B927FD"/>
    <w:rsid w:val="00BC19F4"/>
    <w:rsid w:val="00BC1B69"/>
    <w:rsid w:val="00BC7C3C"/>
    <w:rsid w:val="00BE62C1"/>
    <w:rsid w:val="00BF1A51"/>
    <w:rsid w:val="00BF3B4E"/>
    <w:rsid w:val="00BF52BD"/>
    <w:rsid w:val="00C1272F"/>
    <w:rsid w:val="00C138F6"/>
    <w:rsid w:val="00C150B1"/>
    <w:rsid w:val="00C23A62"/>
    <w:rsid w:val="00C5750D"/>
    <w:rsid w:val="00C83A0C"/>
    <w:rsid w:val="00C84D5B"/>
    <w:rsid w:val="00C9691E"/>
    <w:rsid w:val="00CA3F8B"/>
    <w:rsid w:val="00CB06CA"/>
    <w:rsid w:val="00CB0BCF"/>
    <w:rsid w:val="00CC0746"/>
    <w:rsid w:val="00CD4672"/>
    <w:rsid w:val="00CE03E7"/>
    <w:rsid w:val="00D007D6"/>
    <w:rsid w:val="00D13E08"/>
    <w:rsid w:val="00D463C2"/>
    <w:rsid w:val="00D57257"/>
    <w:rsid w:val="00D63B04"/>
    <w:rsid w:val="00D7479F"/>
    <w:rsid w:val="00D75F69"/>
    <w:rsid w:val="00D82F0E"/>
    <w:rsid w:val="00D86CD5"/>
    <w:rsid w:val="00DA1D14"/>
    <w:rsid w:val="00DB7BDC"/>
    <w:rsid w:val="00DC5351"/>
    <w:rsid w:val="00DC665B"/>
    <w:rsid w:val="00DC7692"/>
    <w:rsid w:val="00DD0A0D"/>
    <w:rsid w:val="00DD0EE3"/>
    <w:rsid w:val="00DD2AAD"/>
    <w:rsid w:val="00DD631F"/>
    <w:rsid w:val="00DE2565"/>
    <w:rsid w:val="00DE2C81"/>
    <w:rsid w:val="00DE4B4A"/>
    <w:rsid w:val="00DF3678"/>
    <w:rsid w:val="00DF5F2C"/>
    <w:rsid w:val="00E1698F"/>
    <w:rsid w:val="00E25F36"/>
    <w:rsid w:val="00E66200"/>
    <w:rsid w:val="00E74BDE"/>
    <w:rsid w:val="00E9538D"/>
    <w:rsid w:val="00EA0A6D"/>
    <w:rsid w:val="00EB3030"/>
    <w:rsid w:val="00EB5102"/>
    <w:rsid w:val="00EC3B54"/>
    <w:rsid w:val="00EC60E3"/>
    <w:rsid w:val="00ED1E89"/>
    <w:rsid w:val="00ED4EEC"/>
    <w:rsid w:val="00EE5A49"/>
    <w:rsid w:val="00EF0AEE"/>
    <w:rsid w:val="00F25CD4"/>
    <w:rsid w:val="00F34BBD"/>
    <w:rsid w:val="00F44453"/>
    <w:rsid w:val="00F4719E"/>
    <w:rsid w:val="00F5165D"/>
    <w:rsid w:val="00F552D2"/>
    <w:rsid w:val="00F577FC"/>
    <w:rsid w:val="00F930C3"/>
    <w:rsid w:val="00F942B5"/>
    <w:rsid w:val="00F9736B"/>
    <w:rsid w:val="00FA2B8D"/>
    <w:rsid w:val="00FA3920"/>
    <w:rsid w:val="00FA4B70"/>
    <w:rsid w:val="00FC3597"/>
    <w:rsid w:val="00FC5706"/>
    <w:rsid w:val="00FD3743"/>
    <w:rsid w:val="00FE0378"/>
    <w:rsid w:val="00FF4683"/>
    <w:rsid w:val="0247E739"/>
    <w:rsid w:val="0DAFF655"/>
    <w:rsid w:val="0DC995E3"/>
    <w:rsid w:val="0F61AAF4"/>
    <w:rsid w:val="0F67FC6A"/>
    <w:rsid w:val="16BCDFFC"/>
    <w:rsid w:val="17331712"/>
    <w:rsid w:val="17E0E7DA"/>
    <w:rsid w:val="19F1C725"/>
    <w:rsid w:val="1B93D3AE"/>
    <w:rsid w:val="2B0E5E0E"/>
    <w:rsid w:val="377C442F"/>
    <w:rsid w:val="38C5D067"/>
    <w:rsid w:val="39D30E1F"/>
    <w:rsid w:val="3D994A6A"/>
    <w:rsid w:val="3DEBCAE6"/>
    <w:rsid w:val="3F58E1A2"/>
    <w:rsid w:val="4109AAE9"/>
    <w:rsid w:val="42367013"/>
    <w:rsid w:val="533C9EF3"/>
    <w:rsid w:val="55C57E5D"/>
    <w:rsid w:val="61D94650"/>
    <w:rsid w:val="62C37258"/>
    <w:rsid w:val="6390149F"/>
    <w:rsid w:val="6DD5673B"/>
    <w:rsid w:val="7FB44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0FD15C4"/>
  <w15:chartTrackingRefBased/>
  <w15:docId w15:val="{837AAAD0-BDC6-4EB1-AEF4-1E8465F2B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4"/>
    <w:qFormat/>
    <w:rsid w:val="00C150B1"/>
    <w:pPr>
      <w:spacing w:after="0" w:line="252" w:lineRule="auto"/>
    </w:pPr>
    <w:rPr>
      <w:rFonts w:ascii="Hitachi Sans" w:eastAsia="Yu Gothic UI" w:hAnsi="Hitachi Sans"/>
      <w:sz w:val="22"/>
    </w:rPr>
  </w:style>
  <w:style w:type="paragraph" w:styleId="Heading1">
    <w:name w:val="heading 1"/>
    <w:basedOn w:val="Normal"/>
    <w:next w:val="Normal"/>
    <w:link w:val="Heading1Char"/>
    <w:uiPriority w:val="9"/>
    <w:qFormat/>
    <w:rsid w:val="00C150B1"/>
    <w:pPr>
      <w:keepNext/>
      <w:keepLines/>
      <w:spacing w:after="240"/>
      <w:outlineLvl w:val="0"/>
    </w:pPr>
    <w:rPr>
      <w:rFonts w:cstheme="majorBidi"/>
      <w:b/>
      <w:color w:val="000000" w:themeColor="text1"/>
      <w:szCs w:val="40"/>
    </w:rPr>
  </w:style>
  <w:style w:type="paragraph" w:styleId="Heading2">
    <w:name w:val="heading 2"/>
    <w:basedOn w:val="Normal"/>
    <w:next w:val="Normal"/>
    <w:link w:val="Heading2Char"/>
    <w:uiPriority w:val="9"/>
    <w:qFormat/>
    <w:rsid w:val="00C150B1"/>
    <w:pPr>
      <w:keepNext/>
      <w:keepLines/>
      <w:spacing w:after="120"/>
      <w:outlineLvl w:val="1"/>
    </w:pPr>
    <w:rPr>
      <w:rFonts w:cstheme="majorBidi"/>
      <w:b/>
      <w:color w:val="000000" w:themeColor="text1"/>
      <w:szCs w:val="32"/>
    </w:rPr>
  </w:style>
  <w:style w:type="paragraph" w:styleId="Heading3">
    <w:name w:val="heading 3"/>
    <w:basedOn w:val="Normal"/>
    <w:next w:val="Normal"/>
    <w:link w:val="Heading3Char"/>
    <w:uiPriority w:val="9"/>
    <w:semiHidden/>
    <w:qFormat/>
    <w:rsid w:val="006C49D5"/>
    <w:pPr>
      <w:keepNext/>
      <w:keepLines/>
      <w:spacing w:before="160" w:after="80"/>
      <w:outlineLvl w:val="2"/>
    </w:pPr>
    <w:rPr>
      <w:rFonts w:eastAsiaTheme="majorEastAsia" w:cstheme="majorBidi"/>
      <w:color w:val="BB000B" w:themeColor="accent1" w:themeShade="BF"/>
      <w:sz w:val="28"/>
      <w:szCs w:val="28"/>
    </w:rPr>
  </w:style>
  <w:style w:type="paragraph" w:styleId="Heading4">
    <w:name w:val="heading 4"/>
    <w:basedOn w:val="Normal"/>
    <w:next w:val="Normal"/>
    <w:link w:val="Heading4Char"/>
    <w:uiPriority w:val="9"/>
    <w:semiHidden/>
    <w:qFormat/>
    <w:rsid w:val="006C49D5"/>
    <w:pPr>
      <w:keepNext/>
      <w:keepLines/>
      <w:spacing w:before="80" w:after="40"/>
      <w:outlineLvl w:val="3"/>
    </w:pPr>
    <w:rPr>
      <w:rFonts w:eastAsiaTheme="majorEastAsia" w:cstheme="majorBidi"/>
      <w:i/>
      <w:iCs/>
      <w:color w:val="BB000B" w:themeColor="accent1" w:themeShade="BF"/>
    </w:rPr>
  </w:style>
  <w:style w:type="paragraph" w:styleId="Heading5">
    <w:name w:val="heading 5"/>
    <w:basedOn w:val="Normal"/>
    <w:next w:val="Normal"/>
    <w:link w:val="Heading5Char"/>
    <w:uiPriority w:val="9"/>
    <w:semiHidden/>
    <w:qFormat/>
    <w:rsid w:val="006C49D5"/>
    <w:pPr>
      <w:keepNext/>
      <w:keepLines/>
      <w:spacing w:before="80" w:after="40"/>
      <w:outlineLvl w:val="4"/>
    </w:pPr>
    <w:rPr>
      <w:rFonts w:eastAsiaTheme="majorEastAsia" w:cstheme="majorBidi"/>
      <w:color w:val="BB000B" w:themeColor="accent1" w:themeShade="BF"/>
    </w:rPr>
  </w:style>
  <w:style w:type="paragraph" w:styleId="Heading6">
    <w:name w:val="heading 6"/>
    <w:basedOn w:val="Normal"/>
    <w:next w:val="Normal"/>
    <w:link w:val="Heading6Char"/>
    <w:uiPriority w:val="9"/>
    <w:semiHidden/>
    <w:qFormat/>
    <w:rsid w:val="006C49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qFormat/>
    <w:rsid w:val="006C49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6C49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6C49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0B1"/>
    <w:rPr>
      <w:rFonts w:ascii="Hitachi Sans" w:eastAsia="Yu Gothic UI" w:hAnsi="Hitachi Sans" w:cstheme="majorBidi"/>
      <w:b/>
      <w:color w:val="000000" w:themeColor="text1"/>
      <w:sz w:val="22"/>
      <w:szCs w:val="40"/>
    </w:rPr>
  </w:style>
  <w:style w:type="character" w:customStyle="1" w:styleId="Heading2Char">
    <w:name w:val="Heading 2 Char"/>
    <w:basedOn w:val="DefaultParagraphFont"/>
    <w:link w:val="Heading2"/>
    <w:uiPriority w:val="9"/>
    <w:rsid w:val="00C150B1"/>
    <w:rPr>
      <w:rFonts w:ascii="Hitachi Sans" w:eastAsia="Yu Gothic UI" w:hAnsi="Hitachi Sans" w:cstheme="majorBidi"/>
      <w:b/>
      <w:color w:val="000000" w:themeColor="text1"/>
      <w:sz w:val="22"/>
      <w:szCs w:val="32"/>
    </w:rPr>
  </w:style>
  <w:style w:type="character" w:customStyle="1" w:styleId="Heading3Char">
    <w:name w:val="Heading 3 Char"/>
    <w:basedOn w:val="DefaultParagraphFont"/>
    <w:link w:val="Heading3"/>
    <w:uiPriority w:val="9"/>
    <w:semiHidden/>
    <w:rsid w:val="001B6BDC"/>
    <w:rPr>
      <w:rFonts w:eastAsiaTheme="majorEastAsia" w:cstheme="majorBidi"/>
      <w:color w:val="BB000B" w:themeColor="accent1" w:themeShade="BF"/>
      <w:sz w:val="28"/>
      <w:szCs w:val="28"/>
    </w:rPr>
  </w:style>
  <w:style w:type="character" w:customStyle="1" w:styleId="Heading4Char">
    <w:name w:val="Heading 4 Char"/>
    <w:basedOn w:val="DefaultParagraphFont"/>
    <w:link w:val="Heading4"/>
    <w:uiPriority w:val="9"/>
    <w:semiHidden/>
    <w:rsid w:val="001B6BDC"/>
    <w:rPr>
      <w:rFonts w:eastAsiaTheme="majorEastAsia" w:cstheme="majorBidi"/>
      <w:i/>
      <w:iCs/>
      <w:color w:val="BB000B" w:themeColor="accent1" w:themeShade="BF"/>
      <w:sz w:val="20"/>
    </w:rPr>
  </w:style>
  <w:style w:type="character" w:customStyle="1" w:styleId="Heading5Char">
    <w:name w:val="Heading 5 Char"/>
    <w:basedOn w:val="DefaultParagraphFont"/>
    <w:link w:val="Heading5"/>
    <w:uiPriority w:val="9"/>
    <w:semiHidden/>
    <w:rsid w:val="001B6BDC"/>
    <w:rPr>
      <w:rFonts w:eastAsiaTheme="majorEastAsia" w:cstheme="majorBidi"/>
      <w:color w:val="BB000B" w:themeColor="accent1" w:themeShade="BF"/>
      <w:sz w:val="20"/>
    </w:rPr>
  </w:style>
  <w:style w:type="character" w:customStyle="1" w:styleId="Heading6Char">
    <w:name w:val="Heading 6 Char"/>
    <w:basedOn w:val="DefaultParagraphFont"/>
    <w:link w:val="Heading6"/>
    <w:uiPriority w:val="9"/>
    <w:semiHidden/>
    <w:rsid w:val="001B6BDC"/>
    <w:rPr>
      <w:rFonts w:eastAsiaTheme="majorEastAsia" w:cstheme="majorBidi"/>
      <w:i/>
      <w:iCs/>
      <w:color w:val="595959" w:themeColor="text1" w:themeTint="A6"/>
      <w:sz w:val="20"/>
    </w:rPr>
  </w:style>
  <w:style w:type="character" w:customStyle="1" w:styleId="Heading7Char">
    <w:name w:val="Heading 7 Char"/>
    <w:basedOn w:val="DefaultParagraphFont"/>
    <w:link w:val="Heading7"/>
    <w:uiPriority w:val="9"/>
    <w:semiHidden/>
    <w:rsid w:val="001B6BDC"/>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1B6BDC"/>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1B6BDC"/>
    <w:rPr>
      <w:rFonts w:eastAsiaTheme="majorEastAsia" w:cstheme="majorBidi"/>
      <w:color w:val="272727" w:themeColor="text1" w:themeTint="D8"/>
      <w:sz w:val="20"/>
    </w:rPr>
  </w:style>
  <w:style w:type="paragraph" w:styleId="Title">
    <w:name w:val="Title"/>
    <w:basedOn w:val="Normal"/>
    <w:next w:val="Normal"/>
    <w:link w:val="TitleChar"/>
    <w:uiPriority w:val="2"/>
    <w:qFormat/>
    <w:rsid w:val="00E74BDE"/>
    <w:pPr>
      <w:spacing w:beforeLines="200" w:before="200" w:after="160" w:line="240" w:lineRule="auto"/>
      <w:contextualSpacing/>
    </w:pPr>
    <w:rPr>
      <w:rFonts w:cstheme="majorBidi"/>
      <w:b/>
      <w:spacing w:val="-10"/>
      <w:kern w:val="28"/>
      <w:sz w:val="28"/>
      <w:szCs w:val="32"/>
    </w:rPr>
  </w:style>
  <w:style w:type="character" w:customStyle="1" w:styleId="TitleChar">
    <w:name w:val="Title Char"/>
    <w:basedOn w:val="DefaultParagraphFont"/>
    <w:link w:val="Title"/>
    <w:uiPriority w:val="2"/>
    <w:rsid w:val="00E74BDE"/>
    <w:rPr>
      <w:rFonts w:ascii="Hitachi Sans" w:eastAsia="Yu Gothic UI" w:hAnsi="Hitachi Sans" w:cstheme="majorBidi"/>
      <w:b/>
      <w:spacing w:val="-10"/>
      <w:kern w:val="28"/>
      <w:sz w:val="28"/>
      <w:szCs w:val="32"/>
    </w:rPr>
  </w:style>
  <w:style w:type="paragraph" w:styleId="Subtitle">
    <w:name w:val="Subtitle"/>
    <w:basedOn w:val="Normal"/>
    <w:next w:val="Normal"/>
    <w:link w:val="SubtitleChar"/>
    <w:uiPriority w:val="3"/>
    <w:qFormat/>
    <w:rsid w:val="00C150B1"/>
    <w:pPr>
      <w:suppressAutoHyphens/>
      <w:autoSpaceDE w:val="0"/>
      <w:autoSpaceDN w:val="0"/>
      <w:adjustRightInd w:val="0"/>
      <w:spacing w:after="160" w:line="288" w:lineRule="auto"/>
      <w:textAlignment w:val="center"/>
    </w:pPr>
    <w:rPr>
      <w:rFonts w:cs="Hitachi Sans"/>
      <w:color w:val="0C0C0C"/>
      <w:kern w:val="0"/>
      <w:lang w:val="en-GB"/>
    </w:rPr>
  </w:style>
  <w:style w:type="character" w:customStyle="1" w:styleId="SubtitleChar">
    <w:name w:val="Subtitle Char"/>
    <w:basedOn w:val="DefaultParagraphFont"/>
    <w:link w:val="Subtitle"/>
    <w:uiPriority w:val="3"/>
    <w:rsid w:val="00C150B1"/>
    <w:rPr>
      <w:rFonts w:ascii="Hitachi Sans" w:eastAsia="Yu Gothic UI" w:hAnsi="Hitachi Sans" w:cs="Hitachi Sans"/>
      <w:color w:val="0C0C0C"/>
      <w:kern w:val="0"/>
      <w:sz w:val="22"/>
      <w:lang w:val="en-GB"/>
    </w:rPr>
  </w:style>
  <w:style w:type="paragraph" w:styleId="Quote">
    <w:name w:val="Quote"/>
    <w:basedOn w:val="Normal"/>
    <w:next w:val="Normal"/>
    <w:link w:val="QuoteChar"/>
    <w:uiPriority w:val="29"/>
    <w:semiHidden/>
    <w:qFormat/>
    <w:rsid w:val="006C49D5"/>
    <w:pPr>
      <w:spacing w:before="160"/>
      <w:jc w:val="center"/>
    </w:pPr>
    <w:rPr>
      <w:i/>
      <w:iCs/>
      <w:color w:val="404040" w:themeColor="text1" w:themeTint="BF"/>
    </w:rPr>
  </w:style>
  <w:style w:type="character" w:customStyle="1" w:styleId="QuoteChar">
    <w:name w:val="Quote Char"/>
    <w:basedOn w:val="DefaultParagraphFont"/>
    <w:link w:val="Quote"/>
    <w:uiPriority w:val="29"/>
    <w:semiHidden/>
    <w:rsid w:val="001B6BDC"/>
    <w:rPr>
      <w:rFonts w:eastAsiaTheme="minorEastAsia"/>
      <w:i/>
      <w:iCs/>
      <w:color w:val="404040" w:themeColor="text1" w:themeTint="BF"/>
      <w:sz w:val="20"/>
    </w:rPr>
  </w:style>
  <w:style w:type="paragraph" w:styleId="ListParagraph">
    <w:name w:val="List Paragraph"/>
    <w:basedOn w:val="Normal"/>
    <w:uiPriority w:val="34"/>
    <w:qFormat/>
    <w:rsid w:val="006C49D5"/>
    <w:pPr>
      <w:ind w:left="720"/>
      <w:contextualSpacing/>
    </w:pPr>
  </w:style>
  <w:style w:type="character" w:styleId="IntenseEmphasis">
    <w:name w:val="Intense Emphasis"/>
    <w:basedOn w:val="DefaultParagraphFont"/>
    <w:uiPriority w:val="21"/>
    <w:semiHidden/>
    <w:qFormat/>
    <w:rsid w:val="006C49D5"/>
    <w:rPr>
      <w:i/>
      <w:iCs/>
      <w:color w:val="BB000B" w:themeColor="accent1" w:themeShade="BF"/>
    </w:rPr>
  </w:style>
  <w:style w:type="paragraph" w:styleId="IntenseQuote">
    <w:name w:val="Intense Quote"/>
    <w:basedOn w:val="Normal"/>
    <w:next w:val="Normal"/>
    <w:link w:val="IntenseQuoteChar"/>
    <w:uiPriority w:val="30"/>
    <w:semiHidden/>
    <w:qFormat/>
    <w:rsid w:val="006C49D5"/>
    <w:pPr>
      <w:pBdr>
        <w:top w:val="single" w:sz="4" w:space="10" w:color="BB000B" w:themeColor="accent1" w:themeShade="BF"/>
        <w:bottom w:val="single" w:sz="4" w:space="10" w:color="BB000B" w:themeColor="accent1" w:themeShade="BF"/>
      </w:pBdr>
      <w:spacing w:before="360" w:after="360"/>
      <w:ind w:left="864" w:right="864"/>
      <w:jc w:val="center"/>
    </w:pPr>
    <w:rPr>
      <w:i/>
      <w:iCs/>
      <w:color w:val="BB000B" w:themeColor="accent1" w:themeShade="BF"/>
    </w:rPr>
  </w:style>
  <w:style w:type="character" w:customStyle="1" w:styleId="IntenseQuoteChar">
    <w:name w:val="Intense Quote Char"/>
    <w:basedOn w:val="DefaultParagraphFont"/>
    <w:link w:val="IntenseQuote"/>
    <w:uiPriority w:val="30"/>
    <w:semiHidden/>
    <w:rsid w:val="001B6BDC"/>
    <w:rPr>
      <w:rFonts w:eastAsiaTheme="minorEastAsia"/>
      <w:i/>
      <w:iCs/>
      <w:color w:val="BB000B" w:themeColor="accent1" w:themeShade="BF"/>
      <w:sz w:val="20"/>
    </w:rPr>
  </w:style>
  <w:style w:type="character" w:styleId="IntenseReference">
    <w:name w:val="Intense Reference"/>
    <w:basedOn w:val="DefaultParagraphFont"/>
    <w:uiPriority w:val="32"/>
    <w:semiHidden/>
    <w:qFormat/>
    <w:rsid w:val="006C49D5"/>
    <w:rPr>
      <w:b/>
      <w:bCs/>
      <w:smallCaps/>
      <w:color w:val="BB000B" w:themeColor="accent1" w:themeShade="BF"/>
      <w:spacing w:val="5"/>
    </w:rPr>
  </w:style>
  <w:style w:type="paragraph" w:styleId="Header">
    <w:name w:val="header"/>
    <w:basedOn w:val="Normal"/>
    <w:link w:val="HeaderChar"/>
    <w:uiPriority w:val="99"/>
    <w:semiHidden/>
    <w:rsid w:val="00693F10"/>
    <w:pPr>
      <w:tabs>
        <w:tab w:val="center" w:pos="4513"/>
        <w:tab w:val="right" w:pos="9026"/>
      </w:tabs>
      <w:spacing w:line="240" w:lineRule="auto"/>
    </w:pPr>
    <w:rPr>
      <w:bCs/>
      <w:sz w:val="16"/>
      <w:szCs w:val="38"/>
    </w:rPr>
  </w:style>
  <w:style w:type="character" w:customStyle="1" w:styleId="HeaderChar">
    <w:name w:val="Header Char"/>
    <w:basedOn w:val="DefaultParagraphFont"/>
    <w:link w:val="Header"/>
    <w:uiPriority w:val="99"/>
    <w:semiHidden/>
    <w:rsid w:val="00693F10"/>
    <w:rPr>
      <w:rFonts w:eastAsiaTheme="minorEastAsia"/>
      <w:bCs/>
      <w:sz w:val="16"/>
      <w:szCs w:val="38"/>
    </w:rPr>
  </w:style>
  <w:style w:type="paragraph" w:styleId="Footer">
    <w:name w:val="footer"/>
    <w:basedOn w:val="Normal"/>
    <w:link w:val="FooterChar"/>
    <w:uiPriority w:val="99"/>
    <w:rsid w:val="00BC7C3C"/>
    <w:pPr>
      <w:tabs>
        <w:tab w:val="center" w:pos="4513"/>
        <w:tab w:val="right" w:pos="9026"/>
      </w:tabs>
      <w:spacing w:line="259" w:lineRule="auto"/>
    </w:pPr>
    <w:rPr>
      <w:b/>
      <w:sz w:val="18"/>
      <w:szCs w:val="16"/>
    </w:rPr>
  </w:style>
  <w:style w:type="character" w:customStyle="1" w:styleId="FooterChar">
    <w:name w:val="Footer Char"/>
    <w:basedOn w:val="DefaultParagraphFont"/>
    <w:link w:val="Footer"/>
    <w:uiPriority w:val="99"/>
    <w:rsid w:val="0083349E"/>
    <w:rPr>
      <w:rFonts w:eastAsiaTheme="minorEastAsia"/>
      <w:b/>
      <w:sz w:val="18"/>
      <w:szCs w:val="16"/>
    </w:rPr>
  </w:style>
  <w:style w:type="table" w:styleId="TableGrid">
    <w:name w:val="Table Grid"/>
    <w:basedOn w:val="TableNormal"/>
    <w:uiPriority w:val="39"/>
    <w:rsid w:val="003B2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ext">
    <w:name w:val="Bullet Text"/>
    <w:basedOn w:val="Normal"/>
    <w:uiPriority w:val="4"/>
    <w:qFormat/>
    <w:rsid w:val="00C150B1"/>
    <w:pPr>
      <w:numPr>
        <w:numId w:val="1"/>
      </w:numPr>
      <w:ind w:left="284" w:hanging="284"/>
      <w:contextualSpacing/>
    </w:pPr>
  </w:style>
  <w:style w:type="paragraph" w:styleId="Date">
    <w:name w:val="Date"/>
    <w:basedOn w:val="Normal"/>
    <w:next w:val="Normal"/>
    <w:link w:val="DateChar"/>
    <w:uiPriority w:val="99"/>
    <w:semiHidden/>
    <w:rsid w:val="001B6BDC"/>
    <w:rPr>
      <w:b/>
    </w:rPr>
  </w:style>
  <w:style w:type="character" w:customStyle="1" w:styleId="DateChar">
    <w:name w:val="Date Char"/>
    <w:basedOn w:val="DefaultParagraphFont"/>
    <w:link w:val="Date"/>
    <w:uiPriority w:val="99"/>
    <w:semiHidden/>
    <w:rsid w:val="00E25F36"/>
    <w:rPr>
      <w:rFonts w:eastAsiaTheme="minorEastAsia"/>
      <w:b/>
    </w:rPr>
  </w:style>
  <w:style w:type="character" w:styleId="Hyperlink">
    <w:name w:val="Hyperlink"/>
    <w:basedOn w:val="DefaultParagraphFont"/>
    <w:uiPriority w:val="99"/>
    <w:semiHidden/>
    <w:rsid w:val="00C23A62"/>
    <w:rPr>
      <w:color w:val="0064FA"/>
      <w:u w:val="none"/>
    </w:rPr>
  </w:style>
  <w:style w:type="character" w:styleId="UnresolvedMention">
    <w:name w:val="Unresolved Mention"/>
    <w:basedOn w:val="DefaultParagraphFont"/>
    <w:uiPriority w:val="99"/>
    <w:semiHidden/>
    <w:rsid w:val="00235F77"/>
    <w:rPr>
      <w:color w:val="605E5C"/>
      <w:shd w:val="clear" w:color="auto" w:fill="E1DFDD"/>
    </w:rPr>
  </w:style>
  <w:style w:type="paragraph" w:customStyle="1" w:styleId="NewsRelease">
    <w:name w:val="News Release"/>
    <w:basedOn w:val="Header"/>
    <w:qFormat/>
    <w:rsid w:val="00C150B1"/>
    <w:pPr>
      <w:framePr w:hSpace="181" w:wrap="around" w:vAnchor="page" w:hAnchor="text" w:y="710"/>
      <w:spacing w:line="245" w:lineRule="auto"/>
      <w:suppressOverlap/>
    </w:pPr>
    <w:rPr>
      <w:sz w:val="32"/>
      <w:szCs w:val="32"/>
    </w:rPr>
  </w:style>
  <w:style w:type="paragraph" w:customStyle="1" w:styleId="Notice">
    <w:name w:val="Notice"/>
    <w:uiPriority w:val="2"/>
    <w:qFormat/>
    <w:rsid w:val="00C150B1"/>
    <w:pPr>
      <w:spacing w:after="0" w:line="240" w:lineRule="auto"/>
    </w:pPr>
    <w:rPr>
      <w:rFonts w:ascii="Hitachi Sans" w:eastAsia="Yu Gothic UI" w:hAnsi="Hitachi Sans"/>
      <w:b/>
      <w:bCs/>
      <w:sz w:val="18"/>
      <w:szCs w:val="18"/>
    </w:rPr>
  </w:style>
  <w:style w:type="paragraph" w:styleId="Caption">
    <w:name w:val="caption"/>
    <w:basedOn w:val="Subtitle"/>
    <w:next w:val="Normal"/>
    <w:uiPriority w:val="35"/>
    <w:qFormat/>
    <w:rsid w:val="00C150B1"/>
    <w:rPr>
      <w:sz w:val="18"/>
      <w:szCs w:val="18"/>
    </w:rPr>
  </w:style>
  <w:style w:type="character" w:styleId="PageNumber">
    <w:name w:val="page number"/>
    <w:basedOn w:val="DefaultParagraphFont"/>
    <w:uiPriority w:val="99"/>
    <w:semiHidden/>
    <w:rsid w:val="00BC7C3C"/>
    <w:rPr>
      <w:rFonts w:asciiTheme="minorHAnsi" w:hAnsiTheme="minorHAnsi"/>
      <w:b/>
    </w:rPr>
  </w:style>
  <w:style w:type="paragraph" w:styleId="FootnoteText">
    <w:name w:val="footnote text"/>
    <w:basedOn w:val="Normal"/>
    <w:link w:val="FootnoteTextChar"/>
    <w:uiPriority w:val="98"/>
    <w:semiHidden/>
    <w:rsid w:val="006A2A6F"/>
    <w:pPr>
      <w:spacing w:line="240" w:lineRule="auto"/>
      <w:ind w:left="567"/>
      <w:contextualSpacing/>
    </w:pPr>
    <w:rPr>
      <w:sz w:val="18"/>
      <w:szCs w:val="18"/>
    </w:rPr>
  </w:style>
  <w:style w:type="character" w:customStyle="1" w:styleId="FootnoteTextChar">
    <w:name w:val="Footnote Text Char"/>
    <w:basedOn w:val="DefaultParagraphFont"/>
    <w:link w:val="FootnoteText"/>
    <w:uiPriority w:val="98"/>
    <w:semiHidden/>
    <w:rsid w:val="007E0F43"/>
    <w:rPr>
      <w:rFonts w:eastAsiaTheme="minorEastAsia"/>
      <w:sz w:val="18"/>
      <w:szCs w:val="18"/>
    </w:rPr>
  </w:style>
  <w:style w:type="paragraph" w:styleId="NoSpacing">
    <w:name w:val="No Spacing"/>
    <w:uiPriority w:val="5"/>
    <w:qFormat/>
    <w:rsid w:val="00C150B1"/>
    <w:pPr>
      <w:spacing w:after="0" w:line="252" w:lineRule="auto"/>
    </w:pPr>
    <w:rPr>
      <w:rFonts w:ascii="Hitachi Sans" w:eastAsia="Yu Gothic UI" w:hAnsi="Hitachi Sans"/>
    </w:rPr>
  </w:style>
  <w:style w:type="table" w:customStyle="1" w:styleId="HitachiTable">
    <w:name w:val="Hitachi Table"/>
    <w:basedOn w:val="TableNormal"/>
    <w:uiPriority w:val="99"/>
    <w:rsid w:val="00E25F36"/>
    <w:pPr>
      <w:spacing w:after="0" w:line="240" w:lineRule="auto"/>
    </w:pPr>
    <w:rPr>
      <w:sz w:val="16"/>
    </w:rPr>
    <w:tblPr/>
    <w:tblStylePr w:type="firstRow">
      <w:rPr>
        <w:b/>
      </w:rPr>
      <w:tblPr/>
      <w:tcPr>
        <w:tcBorders>
          <w:top w:val="single" w:sz="4" w:space="0" w:color="000000" w:themeColor="text1"/>
        </w:tcBorders>
      </w:tcPr>
    </w:tblStylePr>
  </w:style>
  <w:style w:type="paragraph" w:customStyle="1" w:styleId="Contact">
    <w:name w:val="Contact"/>
    <w:basedOn w:val="Normal"/>
    <w:uiPriority w:val="11"/>
    <w:qFormat/>
    <w:rsid w:val="006A2A6F"/>
    <w:pPr>
      <w:tabs>
        <w:tab w:val="left" w:pos="3402"/>
      </w:tabs>
      <w:contextualSpacing/>
    </w:pPr>
    <w:rPr>
      <w:sz w:val="18"/>
      <w:szCs w:val="18"/>
    </w:rPr>
  </w:style>
  <w:style w:type="paragraph" w:customStyle="1" w:styleId="SmallText">
    <w:name w:val="Small Text"/>
    <w:basedOn w:val="NoSpacing"/>
    <w:uiPriority w:val="4"/>
    <w:qFormat/>
    <w:rsid w:val="00C150B1"/>
    <w:rPr>
      <w:sz w:val="18"/>
      <w:szCs w:val="18"/>
    </w:rPr>
  </w:style>
  <w:style w:type="character" w:styleId="FootnoteReference">
    <w:name w:val="footnote reference"/>
    <w:basedOn w:val="DefaultParagraphFont"/>
    <w:uiPriority w:val="99"/>
    <w:semiHidden/>
    <w:rsid w:val="001C2488"/>
    <w:rPr>
      <w:vertAlign w:val="superscript"/>
    </w:rPr>
  </w:style>
  <w:style w:type="paragraph" w:customStyle="1" w:styleId="EndNotation">
    <w:name w:val="End Notation"/>
    <w:basedOn w:val="FootnoteText"/>
    <w:uiPriority w:val="98"/>
    <w:qFormat/>
    <w:rsid w:val="00C150B1"/>
    <w:pPr>
      <w:tabs>
        <w:tab w:val="left" w:pos="284"/>
      </w:tabs>
      <w:ind w:left="284" w:hanging="284"/>
    </w:pPr>
  </w:style>
  <w:style w:type="character" w:styleId="CommentReference">
    <w:name w:val="annotation reference"/>
    <w:basedOn w:val="DefaultParagraphFont"/>
    <w:uiPriority w:val="99"/>
    <w:semiHidden/>
    <w:rsid w:val="00944F0A"/>
    <w:rPr>
      <w:sz w:val="18"/>
      <w:szCs w:val="18"/>
    </w:rPr>
  </w:style>
  <w:style w:type="paragraph" w:styleId="CommentText">
    <w:name w:val="annotation text"/>
    <w:basedOn w:val="Normal"/>
    <w:link w:val="CommentTextChar"/>
    <w:uiPriority w:val="99"/>
    <w:semiHidden/>
    <w:rsid w:val="00944F0A"/>
  </w:style>
  <w:style w:type="character" w:customStyle="1" w:styleId="CommentTextChar">
    <w:name w:val="Comment Text Char"/>
    <w:basedOn w:val="DefaultParagraphFont"/>
    <w:link w:val="CommentText"/>
    <w:uiPriority w:val="99"/>
    <w:semiHidden/>
    <w:rsid w:val="00944F0A"/>
  </w:style>
  <w:style w:type="paragraph" w:styleId="CommentSubject">
    <w:name w:val="annotation subject"/>
    <w:basedOn w:val="CommentText"/>
    <w:next w:val="CommentText"/>
    <w:link w:val="CommentSubjectChar"/>
    <w:uiPriority w:val="99"/>
    <w:semiHidden/>
    <w:rsid w:val="00944F0A"/>
    <w:rPr>
      <w:b/>
      <w:bCs/>
    </w:rPr>
  </w:style>
  <w:style w:type="character" w:customStyle="1" w:styleId="CommentSubjectChar">
    <w:name w:val="Comment Subject Char"/>
    <w:basedOn w:val="CommentTextChar"/>
    <w:link w:val="CommentSubject"/>
    <w:uiPriority w:val="99"/>
    <w:semiHidden/>
    <w:rsid w:val="00944F0A"/>
    <w:rPr>
      <w:b/>
      <w:bCs/>
    </w:rPr>
  </w:style>
  <w:style w:type="paragraph" w:customStyle="1" w:styleId="paragraph">
    <w:name w:val="paragraph"/>
    <w:basedOn w:val="Normal"/>
    <w:rsid w:val="001A1E8E"/>
    <w:pPr>
      <w:spacing w:before="100" w:beforeAutospacing="1" w:after="100" w:afterAutospacing="1" w:line="240" w:lineRule="auto"/>
    </w:pPr>
    <w:rPr>
      <w:rFonts w:ascii="Times New Roman" w:eastAsia="Times New Roman" w:hAnsi="Times New Roman" w:cs="Times New Roman"/>
      <w:kern w:val="0"/>
      <w:sz w:val="24"/>
      <w14:ligatures w14:val="none"/>
    </w:rPr>
  </w:style>
  <w:style w:type="character" w:customStyle="1" w:styleId="normaltextrun">
    <w:name w:val="normaltextrun"/>
    <w:basedOn w:val="DefaultParagraphFont"/>
    <w:rsid w:val="001A1E8E"/>
  </w:style>
  <w:style w:type="character" w:customStyle="1" w:styleId="eop">
    <w:name w:val="eop"/>
    <w:basedOn w:val="DefaultParagraphFont"/>
    <w:rsid w:val="001A1E8E"/>
  </w:style>
  <w:style w:type="character" w:customStyle="1" w:styleId="superscript">
    <w:name w:val="superscript"/>
    <w:basedOn w:val="DefaultParagraphFont"/>
    <w:rsid w:val="001A1E8E"/>
  </w:style>
  <w:style w:type="paragraph" w:styleId="Revision">
    <w:name w:val="Revision"/>
    <w:hidden/>
    <w:uiPriority w:val="99"/>
    <w:semiHidden/>
    <w:rsid w:val="00855739"/>
    <w:pPr>
      <w:spacing w:after="0" w:line="240" w:lineRule="auto"/>
    </w:pPr>
    <w:rPr>
      <w:rFonts w:ascii="Hitachi Sans" w:eastAsia="Yu Gothic UI" w:hAnsi="Hitachi Sans"/>
      <w:sz w:val="22"/>
    </w:rPr>
  </w:style>
  <w:style w:type="character" w:styleId="FollowedHyperlink">
    <w:name w:val="FollowedHyperlink"/>
    <w:basedOn w:val="DefaultParagraphFont"/>
    <w:uiPriority w:val="99"/>
    <w:semiHidden/>
    <w:rsid w:val="005B56A2"/>
    <w:rPr>
      <w:color w:val="22222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970586">
      <w:bodyDiv w:val="1"/>
      <w:marLeft w:val="0"/>
      <w:marRight w:val="0"/>
      <w:marTop w:val="0"/>
      <w:marBottom w:val="0"/>
      <w:divBdr>
        <w:top w:val="none" w:sz="0" w:space="0" w:color="auto"/>
        <w:left w:val="none" w:sz="0" w:space="0" w:color="auto"/>
        <w:bottom w:val="none" w:sz="0" w:space="0" w:color="auto"/>
        <w:right w:val="none" w:sz="0" w:space="0" w:color="auto"/>
      </w:divBdr>
    </w:div>
    <w:div w:id="993527877">
      <w:bodyDiv w:val="1"/>
      <w:marLeft w:val="0"/>
      <w:marRight w:val="0"/>
      <w:marTop w:val="0"/>
      <w:marBottom w:val="0"/>
      <w:divBdr>
        <w:top w:val="none" w:sz="0" w:space="0" w:color="auto"/>
        <w:left w:val="none" w:sz="0" w:space="0" w:color="auto"/>
        <w:bottom w:val="none" w:sz="0" w:space="0" w:color="auto"/>
        <w:right w:val="none" w:sz="0" w:space="0" w:color="auto"/>
      </w:divBdr>
      <w:divsChild>
        <w:div w:id="65425069">
          <w:marLeft w:val="0"/>
          <w:marRight w:val="0"/>
          <w:marTop w:val="0"/>
          <w:marBottom w:val="0"/>
          <w:divBdr>
            <w:top w:val="none" w:sz="0" w:space="0" w:color="auto"/>
            <w:left w:val="none" w:sz="0" w:space="0" w:color="auto"/>
            <w:bottom w:val="none" w:sz="0" w:space="0" w:color="auto"/>
            <w:right w:val="none" w:sz="0" w:space="0" w:color="auto"/>
          </w:divBdr>
        </w:div>
        <w:div w:id="652375309">
          <w:marLeft w:val="0"/>
          <w:marRight w:val="0"/>
          <w:marTop w:val="0"/>
          <w:marBottom w:val="0"/>
          <w:divBdr>
            <w:top w:val="none" w:sz="0" w:space="0" w:color="auto"/>
            <w:left w:val="none" w:sz="0" w:space="0" w:color="auto"/>
            <w:bottom w:val="none" w:sz="0" w:space="0" w:color="auto"/>
            <w:right w:val="none" w:sz="0" w:space="0" w:color="auto"/>
          </w:divBdr>
        </w:div>
        <w:div w:id="734545259">
          <w:marLeft w:val="0"/>
          <w:marRight w:val="0"/>
          <w:marTop w:val="0"/>
          <w:marBottom w:val="0"/>
          <w:divBdr>
            <w:top w:val="none" w:sz="0" w:space="0" w:color="auto"/>
            <w:left w:val="none" w:sz="0" w:space="0" w:color="auto"/>
            <w:bottom w:val="none" w:sz="0" w:space="0" w:color="auto"/>
            <w:right w:val="none" w:sz="0" w:space="0" w:color="auto"/>
          </w:divBdr>
        </w:div>
        <w:div w:id="1048917598">
          <w:marLeft w:val="0"/>
          <w:marRight w:val="0"/>
          <w:marTop w:val="0"/>
          <w:marBottom w:val="0"/>
          <w:divBdr>
            <w:top w:val="none" w:sz="0" w:space="0" w:color="auto"/>
            <w:left w:val="none" w:sz="0" w:space="0" w:color="auto"/>
            <w:bottom w:val="none" w:sz="0" w:space="0" w:color="auto"/>
            <w:right w:val="none" w:sz="0" w:space="0" w:color="auto"/>
          </w:divBdr>
        </w:div>
        <w:div w:id="1066535362">
          <w:marLeft w:val="0"/>
          <w:marRight w:val="0"/>
          <w:marTop w:val="0"/>
          <w:marBottom w:val="0"/>
          <w:divBdr>
            <w:top w:val="none" w:sz="0" w:space="0" w:color="auto"/>
            <w:left w:val="none" w:sz="0" w:space="0" w:color="auto"/>
            <w:bottom w:val="none" w:sz="0" w:space="0" w:color="auto"/>
            <w:right w:val="none" w:sz="0" w:space="0" w:color="auto"/>
          </w:divBdr>
        </w:div>
        <w:div w:id="1068112096">
          <w:marLeft w:val="0"/>
          <w:marRight w:val="0"/>
          <w:marTop w:val="0"/>
          <w:marBottom w:val="0"/>
          <w:divBdr>
            <w:top w:val="none" w:sz="0" w:space="0" w:color="auto"/>
            <w:left w:val="none" w:sz="0" w:space="0" w:color="auto"/>
            <w:bottom w:val="none" w:sz="0" w:space="0" w:color="auto"/>
            <w:right w:val="none" w:sz="0" w:space="0" w:color="auto"/>
          </w:divBdr>
        </w:div>
        <w:div w:id="1371490834">
          <w:marLeft w:val="0"/>
          <w:marRight w:val="0"/>
          <w:marTop w:val="0"/>
          <w:marBottom w:val="0"/>
          <w:divBdr>
            <w:top w:val="none" w:sz="0" w:space="0" w:color="auto"/>
            <w:left w:val="none" w:sz="0" w:space="0" w:color="auto"/>
            <w:bottom w:val="none" w:sz="0" w:space="0" w:color="auto"/>
            <w:right w:val="none" w:sz="0" w:space="0" w:color="auto"/>
          </w:divBdr>
        </w:div>
        <w:div w:id="1817987691">
          <w:marLeft w:val="0"/>
          <w:marRight w:val="0"/>
          <w:marTop w:val="0"/>
          <w:marBottom w:val="0"/>
          <w:divBdr>
            <w:top w:val="none" w:sz="0" w:space="0" w:color="auto"/>
            <w:left w:val="none" w:sz="0" w:space="0" w:color="auto"/>
            <w:bottom w:val="none" w:sz="0" w:space="0" w:color="auto"/>
            <w:right w:val="none" w:sz="0" w:space="0" w:color="auto"/>
          </w:divBdr>
        </w:div>
        <w:div w:id="1903903559">
          <w:marLeft w:val="0"/>
          <w:marRight w:val="0"/>
          <w:marTop w:val="0"/>
          <w:marBottom w:val="0"/>
          <w:divBdr>
            <w:top w:val="none" w:sz="0" w:space="0" w:color="auto"/>
            <w:left w:val="none" w:sz="0" w:space="0" w:color="auto"/>
            <w:bottom w:val="none" w:sz="0" w:space="0" w:color="auto"/>
            <w:right w:val="none" w:sz="0" w:space="0" w:color="auto"/>
          </w:divBdr>
        </w:div>
      </w:divsChild>
    </w:div>
    <w:div w:id="1159616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itachienergy.com/products-and-solutions/asset-and-work-management/asset-performance-management/apm-reliability?utm_source=meltwater&amp;utm_medium=referral&amp;utm_campaign=bu:ga/ess~cc:global~cn:fy25-m-pgga-global-apm-idc-report~co:awareness~ff:press-release" TargetMode="External"/><Relationship Id="rId18" Type="http://schemas.openxmlformats.org/officeDocument/2006/relationships/hyperlink" Target="https://www.linkedin.com/company/hitachienerg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hitachienergy.com/products-and-solutions/asset-and-work-management/enterprise-asset-management?utm_source=meltwater&amp;utm_medium=referral&amp;utm_campaign=bu:ga/ess~cc:global~cn:fy25-m-pgga-global-apm-idc-report~co:awareness~ff:press-release" TargetMode="External"/><Relationship Id="rId17" Type="http://schemas.openxmlformats.org/officeDocument/2006/relationships/hyperlink" Target="https://www.hitachienerg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itachienergy.com/products-and-solutions/asset-and-work-management/work-management" TargetMode="External"/><Relationship Id="rId20" Type="http://schemas.openxmlformats.org/officeDocument/2006/relationships/hyperlink" Target="http://www.hitachi.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itachienergy.com/products-and-solutions/asset-and-work-management/asset-performance-management?utm_source=meltwater&amp;utm_medium=referral&amp;utm_campaign=bu:ga/ess~cc:global~cn:fy25-m-pgga-global-apm-idc-report~co:awareness~ff:press-release"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hitachienergy.com/products-and-solutions/asset-and-work-management/enterprise-asset-management/ellipse-eam" TargetMode="External"/><Relationship Id="rId23" Type="http://schemas.openxmlformats.org/officeDocument/2006/relationships/header" Target="header2.xml"/><Relationship Id="rId10" Type="http://schemas.openxmlformats.org/officeDocument/2006/relationships/hyperlink" Target="https://www.hitachienergy.com/about-us/company-profile" TargetMode="External"/><Relationship Id="rId19" Type="http://schemas.openxmlformats.org/officeDocument/2006/relationships/hyperlink" Target="https://twitter.com/HitachiEner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itachienergy.com/products-and-solutions/asset-and-work-management/asset-performance-management/apm-optimization?utm_source=meltwater&amp;utm_medium=referral&amp;utm_campaign=bu:ga/ess~cc:global~cn:fy25-m-pgga-global-apm-idc-report~co:awareness~ff:press-release"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itachi">
      <a:dk1>
        <a:sysClr val="windowText" lastClr="000000"/>
      </a:dk1>
      <a:lt1>
        <a:sysClr val="window" lastClr="FFFFFF"/>
      </a:lt1>
      <a:dk2>
        <a:srgbClr val="222222"/>
      </a:dk2>
      <a:lt2>
        <a:srgbClr val="CC0000"/>
      </a:lt2>
      <a:accent1>
        <a:srgbClr val="FA000F"/>
      </a:accent1>
      <a:accent2>
        <a:srgbClr val="4D4D4D"/>
      </a:accent2>
      <a:accent3>
        <a:srgbClr val="737373"/>
      </a:accent3>
      <a:accent4>
        <a:srgbClr val="B3B3B3"/>
      </a:accent4>
      <a:accent5>
        <a:srgbClr val="D9D9D9"/>
      </a:accent5>
      <a:accent6>
        <a:srgbClr val="F4F4F4"/>
      </a:accent6>
      <a:hlink>
        <a:srgbClr val="000000"/>
      </a:hlink>
      <a:folHlink>
        <a:srgbClr val="222222"/>
      </a:folHlink>
    </a:clrScheme>
    <a:fontScheme name="Hitachi">
      <a:majorFont>
        <a:latin typeface="Hitachi Sans"/>
        <a:ea typeface=""/>
        <a:cs typeface=""/>
      </a:majorFont>
      <a:minorFont>
        <a:latin typeface="Hitachi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een">
      <a:srgbClr val="00FA82"/>
    </a:custClr>
    <a:custClr name="Cyan">
      <a:srgbClr val="00DCFA"/>
    </a:custClr>
    <a:custClr name="Blue">
      <a:srgbClr val="0064FA"/>
    </a:custClr>
    <a:custClr name="Purple">
      <a:srgbClr val="9B00FA"/>
    </a:custClr>
    <a:custClr name="Pink">
      <a:srgbClr val="FA00A5"/>
    </a:custClr>
    <a:custClr name="Orange">
      <a:srgbClr val="FA6900"/>
    </a:custClr>
    <a:custClr name="Yellow">
      <a:srgbClr val="FAD200"/>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8c89053-2e45-404c-ac67-ea3cd3aded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61FD49E6044D46B227D3FD70A7ADB7" ma:contentTypeVersion="19" ma:contentTypeDescription="Create a new document." ma:contentTypeScope="" ma:versionID="99e5b98c3b273df901ce549d0dc792da">
  <xsd:schema xmlns:xsd="http://www.w3.org/2001/XMLSchema" xmlns:xs="http://www.w3.org/2001/XMLSchema" xmlns:p="http://schemas.microsoft.com/office/2006/metadata/properties" xmlns:ns3="25cff5d2-1d5e-4349-a624-b10d9b9f42fe" xmlns:ns4="d8c89053-2e45-404c-ac67-ea3cd3aded83" targetNamespace="http://schemas.microsoft.com/office/2006/metadata/properties" ma:root="true" ma:fieldsID="6188472c0f32d2d27d56579868ca0434" ns3:_="" ns4:_="">
    <xsd:import namespace="25cff5d2-1d5e-4349-a624-b10d9b9f42fe"/>
    <xsd:import namespace="d8c89053-2e45-404c-ac67-ea3cd3aded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ff5d2-1d5e-4349-a624-b10d9b9f42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c89053-2e45-404c-ac67-ea3cd3aded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7D74D9-B9E9-4AD7-8A60-0529D6099F5A}">
  <ds:schemaRefs>
    <ds:schemaRef ds:uri="http://schemas.microsoft.com/office/2006/metadata/properties"/>
    <ds:schemaRef ds:uri="http://schemas.microsoft.com/office/infopath/2007/PartnerControls"/>
    <ds:schemaRef ds:uri="d8c89053-2e45-404c-ac67-ea3cd3aded83"/>
  </ds:schemaRefs>
</ds:datastoreItem>
</file>

<file path=customXml/itemProps2.xml><?xml version="1.0" encoding="utf-8"?>
<ds:datastoreItem xmlns:ds="http://schemas.openxmlformats.org/officeDocument/2006/customXml" ds:itemID="{F0CB7852-7ED9-4D83-B781-029CC17E2E16}">
  <ds:schemaRefs>
    <ds:schemaRef ds:uri="http://schemas.microsoft.com/sharepoint/v3/contenttype/forms"/>
  </ds:schemaRefs>
</ds:datastoreItem>
</file>

<file path=customXml/itemProps3.xml><?xml version="1.0" encoding="utf-8"?>
<ds:datastoreItem xmlns:ds="http://schemas.openxmlformats.org/officeDocument/2006/customXml" ds:itemID="{66268844-581F-4107-8A0E-873848D32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ff5d2-1d5e-4349-a624-b10d9b9f42fe"/>
    <ds:schemaRef ds:uri="d8c89053-2e45-404c-ac67-ea3cd3ade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 id="{f54277c9-dafe-44aa-85a4-73d5c7c52450}" enabled="0" method="" siteId="{f54277c9-dafe-44aa-85a4-73d5c7c52450}"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1163</Words>
  <Characters>6632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7780</CharactersWithSpaces>
  <SharedDoc>false</SharedDoc>
  <HLinks>
    <vt:vector size="24" baseType="variant">
      <vt:variant>
        <vt:i4>4587608</vt:i4>
      </vt:variant>
      <vt:variant>
        <vt:i4>9</vt:i4>
      </vt:variant>
      <vt:variant>
        <vt:i4>0</vt:i4>
      </vt:variant>
      <vt:variant>
        <vt:i4>5</vt:i4>
      </vt:variant>
      <vt:variant>
        <vt:lpwstr>https://www.hitachi.com/</vt:lpwstr>
      </vt:variant>
      <vt:variant>
        <vt:lpwstr/>
      </vt:variant>
      <vt:variant>
        <vt:i4>1966175</vt:i4>
      </vt:variant>
      <vt:variant>
        <vt:i4>6</vt:i4>
      </vt:variant>
      <vt:variant>
        <vt:i4>0</vt:i4>
      </vt:variant>
      <vt:variant>
        <vt:i4>5</vt:i4>
      </vt:variant>
      <vt:variant>
        <vt:lpwstr>https://twitter.com/HitachiEnergy</vt:lpwstr>
      </vt:variant>
      <vt:variant>
        <vt:lpwstr/>
      </vt:variant>
      <vt:variant>
        <vt:i4>2818169</vt:i4>
      </vt:variant>
      <vt:variant>
        <vt:i4>3</vt:i4>
      </vt:variant>
      <vt:variant>
        <vt:i4>0</vt:i4>
      </vt:variant>
      <vt:variant>
        <vt:i4>5</vt:i4>
      </vt:variant>
      <vt:variant>
        <vt:lpwstr>https://www.linkedin.com/company/hitachienergy</vt:lpwstr>
      </vt:variant>
      <vt:variant>
        <vt:lpwstr/>
      </vt:variant>
      <vt:variant>
        <vt:i4>2162749</vt:i4>
      </vt:variant>
      <vt:variant>
        <vt:i4>0</vt:i4>
      </vt:variant>
      <vt:variant>
        <vt:i4>0</vt:i4>
      </vt:variant>
      <vt:variant>
        <vt:i4>5</vt:i4>
      </vt:variant>
      <vt:variant>
        <vt:lpwstr>https://www.hitachienergy.com/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Vishak Gopinath</dc:creator>
  <cp:keywords/>
  <dc:description/>
  <cp:lastModifiedBy>Andile Mbethe</cp:lastModifiedBy>
  <cp:revision>2</cp:revision>
  <cp:lastPrinted>2026-02-16T10:16:00Z</cp:lastPrinted>
  <dcterms:created xsi:type="dcterms:W3CDTF">2026-02-17T07:45:00Z</dcterms:created>
  <dcterms:modified xsi:type="dcterms:W3CDTF">2026-02-17T07:45:00Z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0x0101004461FD49E6044D46B227D3FD70A7ADB7</vt:lpwstr>
  </property>
  <property fmtid="{D5CDD505-2E9C-101B-9397-08002B2CF9AE}" pid="3" name="MediaServiceImageTags">
    <vt:lpwstr/>
  </property>
  <property fmtid="{D5CDD505-2E9C-101B-9397-08002B2CF9AE}" pid="4" name="GrammarlyDocumentId">
    <vt:lpwstr>ea8b1330-60ef-41b7-9188-5c174c2ce6b7</vt:lpwstr>
  </property>
</Properties>
</file>