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A7EAF" w14:textId="77777777" w:rsidR="00467F2C" w:rsidRPr="00467F2C" w:rsidRDefault="00467F2C" w:rsidP="00467F2C">
      <w:pPr>
        <w:spacing w:after="100" w:afterAutospacing="1" w:line="240" w:lineRule="auto"/>
        <w:jc w:val="center"/>
        <w:outlineLvl w:val="0"/>
        <w:rPr>
          <w:rFonts w:ascii="Arial" w:eastAsia="Times New Roman" w:hAnsi="Arial" w:cs="Arial"/>
          <w:b/>
          <w:bCs/>
          <w:color w:val="2D2D2D"/>
          <w:kern w:val="36"/>
          <w:sz w:val="36"/>
          <w:szCs w:val="36"/>
          <w:lang w:val="en-ZA" w:eastAsia="en-ZA"/>
        </w:rPr>
      </w:pPr>
      <w:bookmarkStart w:id="0" w:name="_Hlk43311256"/>
      <w:r w:rsidRPr="00467F2C">
        <w:rPr>
          <w:rFonts w:ascii="Arial" w:eastAsia="Times New Roman" w:hAnsi="Arial" w:cs="Arial"/>
          <w:b/>
          <w:bCs/>
          <w:color w:val="2D2D2D"/>
          <w:kern w:val="36"/>
          <w:sz w:val="36"/>
          <w:szCs w:val="36"/>
          <w:lang w:val="en-ZA" w:eastAsia="en-ZA"/>
        </w:rPr>
        <w:t>Hitachi Energy is ahead of schedule with its purpose-driven growth plan</w:t>
      </w:r>
    </w:p>
    <w:p w14:paraId="6CE2BBE0" w14:textId="77777777" w:rsidR="00F3387F" w:rsidRPr="00ED6404" w:rsidRDefault="00F3387F" w:rsidP="00F3387F">
      <w:pPr>
        <w:spacing w:after="0" w:line="240" w:lineRule="auto"/>
        <w:rPr>
          <w:rFonts w:eastAsia="Times New Roman" w:cstheme="minorHAnsi"/>
          <w:color w:val="2D2D2D"/>
          <w:kern w:val="0"/>
          <w:sz w:val="24"/>
          <w:szCs w:val="24"/>
          <w:lang w:val="en-ZA" w:eastAsia="en-ZA"/>
        </w:rPr>
      </w:pPr>
    </w:p>
    <w:bookmarkEnd w:id="0"/>
    <w:p w14:paraId="68625F17" w14:textId="51293A28" w:rsidR="00467F2C" w:rsidRDefault="00467F2C" w:rsidP="009C127B">
      <w:pPr>
        <w:autoSpaceDE w:val="0"/>
        <w:autoSpaceDN w:val="0"/>
        <w:adjustRightInd w:val="0"/>
        <w:spacing w:after="0" w:line="240" w:lineRule="auto"/>
        <w:rPr>
          <w:rFonts w:ascii="Arial" w:hAnsi="Arial" w:cs="Arial"/>
          <w:b/>
          <w:color w:val="2D2D2D"/>
          <w:sz w:val="22"/>
          <w:szCs w:val="22"/>
        </w:rPr>
      </w:pPr>
      <w:r w:rsidRPr="00467F2C">
        <w:rPr>
          <w:rFonts w:ascii="Arial" w:hAnsi="Arial" w:cs="Arial"/>
          <w:b/>
          <w:color w:val="2D2D2D"/>
          <w:sz w:val="22"/>
          <w:szCs w:val="22"/>
        </w:rPr>
        <w:t>Hitachi announced acquisition of remaining shares from ABB ahead of schedule further supporting Hitachi Energy's 2030 Plan</w:t>
      </w:r>
      <w:r>
        <w:rPr>
          <w:rFonts w:ascii="Arial" w:hAnsi="Arial" w:cs="Arial"/>
          <w:b/>
          <w:color w:val="2D2D2D"/>
          <w:sz w:val="22"/>
          <w:szCs w:val="22"/>
        </w:rPr>
        <w:t>.</w:t>
      </w:r>
    </w:p>
    <w:p w14:paraId="66792910" w14:textId="77777777" w:rsidR="00467F2C" w:rsidRPr="00195E48" w:rsidRDefault="00467F2C" w:rsidP="009C127B">
      <w:pPr>
        <w:autoSpaceDE w:val="0"/>
        <w:autoSpaceDN w:val="0"/>
        <w:adjustRightInd w:val="0"/>
        <w:spacing w:after="0" w:line="240" w:lineRule="auto"/>
        <w:rPr>
          <w:rFonts w:cstheme="minorHAnsi"/>
          <w:b/>
          <w:color w:val="2D2D2D"/>
          <w:sz w:val="22"/>
          <w:szCs w:val="22"/>
        </w:rPr>
      </w:pPr>
    </w:p>
    <w:p w14:paraId="353FDB02" w14:textId="6E280070" w:rsidR="00467F2C" w:rsidRPr="00467F2C" w:rsidRDefault="00195E48" w:rsidP="00467F2C">
      <w:pPr>
        <w:spacing w:after="100" w:afterAutospacing="1" w:line="240" w:lineRule="auto"/>
        <w:rPr>
          <w:rFonts w:eastAsia="Times New Roman" w:cstheme="minorHAnsi"/>
          <w:color w:val="2D2D2D"/>
          <w:kern w:val="0"/>
          <w:sz w:val="22"/>
          <w:szCs w:val="22"/>
          <w:lang w:val="en-ZA" w:eastAsia="en-ZA"/>
        </w:rPr>
      </w:pPr>
      <w:r w:rsidRPr="00195E48">
        <w:rPr>
          <w:rFonts w:eastAsia="Times New Roman" w:cstheme="minorHAnsi"/>
          <w:b/>
          <w:color w:val="2D2D2D"/>
          <w:kern w:val="0"/>
          <w:sz w:val="22"/>
          <w:szCs w:val="22"/>
          <w:lang w:val="en-ZA" w:eastAsia="en-ZA"/>
        </w:rPr>
        <w:t>3 October 2022:</w:t>
      </w:r>
      <w:r>
        <w:rPr>
          <w:rFonts w:eastAsia="Times New Roman" w:cstheme="minorHAnsi"/>
          <w:color w:val="2D2D2D"/>
          <w:kern w:val="0"/>
          <w:sz w:val="22"/>
          <w:szCs w:val="22"/>
          <w:lang w:val="en-ZA" w:eastAsia="en-ZA"/>
        </w:rPr>
        <w:t xml:space="preserve"> </w:t>
      </w:r>
      <w:r w:rsidR="00467F2C" w:rsidRPr="00467F2C">
        <w:rPr>
          <w:rFonts w:eastAsia="Times New Roman" w:cstheme="minorHAnsi"/>
          <w:color w:val="2D2D2D"/>
          <w:kern w:val="0"/>
          <w:sz w:val="22"/>
          <w:szCs w:val="22"/>
          <w:lang w:val="en-ZA" w:eastAsia="en-ZA"/>
        </w:rPr>
        <w:t>Hitachi Energy Ltd ("Hitachi Energy") today announced that Hitachi, Ltd. (TSE: 6501, "Hitachi") has signed a share transfer agreement for the remaining 19.9% shares from ABB Ltd (SIX: ABBBN, "ABB"), p</w:t>
      </w:r>
      <w:bookmarkStart w:id="1" w:name="_GoBack"/>
      <w:bookmarkEnd w:id="1"/>
      <w:r w:rsidR="00467F2C" w:rsidRPr="00467F2C">
        <w:rPr>
          <w:rFonts w:eastAsia="Times New Roman" w:cstheme="minorHAnsi"/>
          <w:color w:val="2D2D2D"/>
          <w:kern w:val="0"/>
          <w:sz w:val="22"/>
          <w:szCs w:val="22"/>
          <w:lang w:val="en-ZA" w:eastAsia="en-ZA"/>
        </w:rPr>
        <w:t>ursuant to the acquisition agreement signed on December 17, 2018(1). This is in line with the plan and ahead of schedule, and the transfer of shares will be completed by end of December 2022, subject to regulatory approvals. </w:t>
      </w:r>
    </w:p>
    <w:p w14:paraId="6DC1A30E" w14:textId="77777777" w:rsidR="00467F2C" w:rsidRPr="00467F2C" w:rsidRDefault="00467F2C" w:rsidP="00467F2C">
      <w:pPr>
        <w:spacing w:after="100" w:afterAutospacing="1" w:line="240" w:lineRule="auto"/>
        <w:rPr>
          <w:rFonts w:eastAsia="Times New Roman" w:cstheme="minorHAnsi"/>
          <w:color w:val="2D2D2D"/>
          <w:kern w:val="0"/>
          <w:sz w:val="22"/>
          <w:szCs w:val="22"/>
          <w:lang w:val="en-ZA" w:eastAsia="en-ZA"/>
        </w:rPr>
      </w:pPr>
      <w:r w:rsidRPr="00467F2C">
        <w:rPr>
          <w:rFonts w:eastAsia="Times New Roman" w:cstheme="minorHAnsi"/>
          <w:color w:val="2D2D2D"/>
          <w:kern w:val="0"/>
          <w:sz w:val="22"/>
          <w:szCs w:val="22"/>
          <w:lang w:val="en-ZA" w:eastAsia="en-ZA"/>
        </w:rPr>
        <w:t>“We are pleased with the progress of Hitachi Energy and we look forward to supporting the Hitachi Energy 2030 Plan, as announced during Hitachi Investor Day 2022,” said Yoshihiko Kawamura, Executive Vice President and Executive Officer, CFO of Hitachi, Ltd., and the Chair of the Board of Hitachi Energy.</w:t>
      </w:r>
    </w:p>
    <w:p w14:paraId="38994D4B" w14:textId="77777777" w:rsidR="00467F2C" w:rsidRPr="00467F2C" w:rsidRDefault="00467F2C" w:rsidP="00467F2C">
      <w:pPr>
        <w:spacing w:after="100" w:afterAutospacing="1" w:line="240" w:lineRule="auto"/>
        <w:rPr>
          <w:rFonts w:eastAsia="Times New Roman" w:cstheme="minorHAnsi"/>
          <w:color w:val="2D2D2D"/>
          <w:kern w:val="0"/>
          <w:sz w:val="22"/>
          <w:szCs w:val="22"/>
          <w:lang w:val="en-ZA" w:eastAsia="en-ZA"/>
        </w:rPr>
      </w:pPr>
      <w:r w:rsidRPr="00467F2C">
        <w:rPr>
          <w:rFonts w:eastAsia="Times New Roman" w:cstheme="minorHAnsi"/>
          <w:color w:val="2D2D2D"/>
          <w:kern w:val="0"/>
          <w:sz w:val="22"/>
          <w:szCs w:val="22"/>
          <w:lang w:val="en-ZA" w:eastAsia="en-ZA"/>
        </w:rPr>
        <w:t>Hitachi Energy is making good progress with its portfolio offering that is strengthening, expanding, and evolving the power system supporting customers and partners across the entire lifecycle to enable a sustainable, flexible and secure energy system. The company is also well-positioned to accelerate the growing electrification of transportation, industry and building sectors with its long-term Hitachi Energy 2030 purpose-driven growth plan.</w:t>
      </w:r>
    </w:p>
    <w:p w14:paraId="6C36FDCD" w14:textId="77777777" w:rsidR="00467F2C" w:rsidRPr="00467F2C" w:rsidRDefault="00467F2C" w:rsidP="00467F2C">
      <w:pPr>
        <w:spacing w:after="100" w:afterAutospacing="1" w:line="240" w:lineRule="auto"/>
        <w:rPr>
          <w:rFonts w:eastAsia="Times New Roman" w:cstheme="minorHAnsi"/>
          <w:color w:val="2D2D2D"/>
          <w:kern w:val="0"/>
          <w:sz w:val="22"/>
          <w:szCs w:val="22"/>
          <w:lang w:val="en-ZA" w:eastAsia="en-ZA"/>
        </w:rPr>
      </w:pPr>
      <w:r w:rsidRPr="00467F2C">
        <w:rPr>
          <w:rFonts w:eastAsia="Times New Roman" w:cstheme="minorHAnsi"/>
          <w:color w:val="2D2D2D"/>
          <w:kern w:val="0"/>
          <w:sz w:val="22"/>
          <w:szCs w:val="22"/>
          <w:lang w:val="en-ZA" w:eastAsia="en-ZA"/>
        </w:rPr>
        <w:t>"Electricity will be the backbone of the entire energy system and the urgency of the energy transition requires us to collaborate and innovate across stakeholders and sectors, and the good news is that we can act now. Hitachi and Hitachi Energy have been generating synergies by combining digital and energy technologies that are contributing to the global energy transition. We will accelerate the drive for synergies, digitalization and service and we will continue to offer deployment of both IT and operational technology (OT) at scale and with speed, as we are advancing a sustainable energy future for all," said Claudio Facchin, Senior Vice President and Executive Officer of Hitachi and CEO of Hitachi Energy. </w:t>
      </w:r>
    </w:p>
    <w:p w14:paraId="14B38D39" w14:textId="77777777" w:rsidR="00467F2C" w:rsidRPr="00467F2C" w:rsidRDefault="00467F2C" w:rsidP="00467F2C">
      <w:pPr>
        <w:spacing w:after="100" w:afterAutospacing="1" w:line="240" w:lineRule="auto"/>
        <w:rPr>
          <w:rFonts w:eastAsia="Times New Roman" w:cstheme="minorHAnsi"/>
          <w:color w:val="2D2D2D"/>
          <w:kern w:val="0"/>
          <w:sz w:val="22"/>
          <w:szCs w:val="22"/>
          <w:lang w:val="en-ZA" w:eastAsia="en-ZA"/>
        </w:rPr>
      </w:pPr>
      <w:r w:rsidRPr="00467F2C">
        <w:rPr>
          <w:rFonts w:eastAsia="Times New Roman" w:cstheme="minorHAnsi"/>
          <w:color w:val="2D2D2D"/>
          <w:kern w:val="0"/>
          <w:sz w:val="22"/>
          <w:szCs w:val="22"/>
          <w:lang w:val="en-ZA" w:eastAsia="en-ZA"/>
        </w:rPr>
        <w:t>The good progress of the company is underpinned by the commitment from Hitachi, a diverse and passionate global team of 40,000 Hitachi Energy employees, and the tailwind from the development and deployment of innovative technology for a carbon-neutral vision where electricity will become the backbone of the entire energy system. </w:t>
      </w:r>
    </w:p>
    <w:p w14:paraId="473D7EFA" w14:textId="77777777" w:rsidR="00467F2C" w:rsidRPr="00467F2C" w:rsidRDefault="00467F2C" w:rsidP="00467F2C">
      <w:pPr>
        <w:spacing w:after="100" w:afterAutospacing="1" w:line="240" w:lineRule="auto"/>
        <w:rPr>
          <w:rFonts w:eastAsia="Times New Roman" w:cstheme="minorHAnsi"/>
          <w:color w:val="2D2D2D"/>
          <w:kern w:val="0"/>
          <w:sz w:val="22"/>
          <w:szCs w:val="22"/>
          <w:lang w:val="en-ZA" w:eastAsia="en-ZA"/>
        </w:rPr>
      </w:pPr>
      <w:r w:rsidRPr="00467F2C">
        <w:rPr>
          <w:rFonts w:eastAsia="Times New Roman" w:cstheme="minorHAnsi"/>
          <w:color w:val="2D2D2D"/>
          <w:kern w:val="0"/>
          <w:sz w:val="22"/>
          <w:szCs w:val="22"/>
          <w:lang w:val="en-ZA" w:eastAsia="en-ZA"/>
        </w:rPr>
        <w:t>Based on the combined knowledge of close to 250 years between Hitachi Energy and Hitachi, the business has also leveraged its energy platform in combination with digital solutions from Hitachi, and launched solutions like Lumada Asset Performance Management and, most recently, Lumada Inspection Insights.</w:t>
      </w:r>
    </w:p>
    <w:p w14:paraId="1D3D0A4C" w14:textId="77777777" w:rsidR="00467F2C" w:rsidRPr="00467F2C" w:rsidRDefault="00467F2C" w:rsidP="00467F2C">
      <w:pPr>
        <w:spacing w:after="100" w:afterAutospacing="1" w:line="240" w:lineRule="auto"/>
        <w:rPr>
          <w:rFonts w:eastAsia="Times New Roman" w:cstheme="minorHAnsi"/>
          <w:color w:val="2D2D2D"/>
          <w:kern w:val="0"/>
          <w:sz w:val="22"/>
          <w:szCs w:val="22"/>
          <w:lang w:val="en-ZA" w:eastAsia="en-ZA"/>
        </w:rPr>
      </w:pPr>
      <w:r w:rsidRPr="00467F2C">
        <w:rPr>
          <w:rFonts w:eastAsia="Times New Roman" w:cstheme="minorHAnsi"/>
          <w:color w:val="2D2D2D"/>
          <w:kern w:val="0"/>
          <w:sz w:val="22"/>
          <w:szCs w:val="22"/>
          <w:lang w:val="en-ZA" w:eastAsia="en-ZA"/>
        </w:rPr>
        <w:t>Strengthening the power system with High Voltage Direct Current (HVDC) technology for bulk renewable integration and interconnections between countries and continents, as well as the launch of an eco-efficient EconiQ™ portfolio for high-voltage products, transformers, and con</w:t>
      </w:r>
      <w:r w:rsidRPr="00467F2C">
        <w:rPr>
          <w:rFonts w:eastAsia="Times New Roman" w:cstheme="minorHAnsi"/>
          <w:color w:val="2D2D2D"/>
          <w:kern w:val="0"/>
          <w:sz w:val="22"/>
          <w:szCs w:val="22"/>
          <w:lang w:val="en-ZA" w:eastAsia="en-ZA"/>
        </w:rPr>
        <w:lastRenderedPageBreak/>
        <w:t>sulting, all initiatives that have contributed to the purpose-driven growth: advancing a sustainable energy future for all. In addition, we are expanding with digital solutions and services that are enabling carbon reductions. And we are evolving the power system through partnerships and new business models, as an integral part of the Hitachi Energy 2030 Plan.</w:t>
      </w:r>
    </w:p>
    <w:p w14:paraId="49C0D868" w14:textId="77777777" w:rsidR="00467F2C" w:rsidRPr="00467F2C" w:rsidRDefault="00467F2C" w:rsidP="00467F2C">
      <w:pPr>
        <w:spacing w:after="0" w:line="240" w:lineRule="auto"/>
        <w:rPr>
          <w:rFonts w:eastAsia="Times New Roman" w:cstheme="minorHAnsi"/>
          <w:color w:val="2D2D2D"/>
          <w:kern w:val="0"/>
          <w:sz w:val="22"/>
          <w:szCs w:val="22"/>
          <w:lang w:val="en-ZA" w:eastAsia="en-ZA"/>
        </w:rPr>
      </w:pPr>
      <w:r w:rsidRPr="00467F2C">
        <w:rPr>
          <w:rFonts w:eastAsia="Times New Roman" w:cstheme="minorHAnsi"/>
          <w:color w:val="2D2D2D"/>
          <w:kern w:val="0"/>
          <w:sz w:val="22"/>
          <w:szCs w:val="22"/>
          <w:lang w:val="en-ZA" w:eastAsia="en-ZA"/>
        </w:rPr>
        <w:t>The solid commitment from Hitachi to the announced acquisition of the remaining shares of Hitachi Energy ahead of plan will help accelerating synergies and implementation of the 2030 Plan enabling our agile and committed team to support customers and partners addressing the global challenge of the energy transition. </w:t>
      </w:r>
    </w:p>
    <w:p w14:paraId="35A8E739" w14:textId="77777777" w:rsidR="00467F2C" w:rsidRPr="00195E48" w:rsidRDefault="00467F2C" w:rsidP="009C127B">
      <w:pPr>
        <w:autoSpaceDE w:val="0"/>
        <w:autoSpaceDN w:val="0"/>
        <w:adjustRightInd w:val="0"/>
        <w:spacing w:after="0" w:line="240" w:lineRule="auto"/>
        <w:rPr>
          <w:rFonts w:cstheme="minorHAnsi"/>
          <w:b/>
          <w:kern w:val="0"/>
          <w:sz w:val="22"/>
          <w:szCs w:val="22"/>
        </w:rPr>
      </w:pPr>
    </w:p>
    <w:p w14:paraId="20E6DE42" w14:textId="77777777" w:rsidR="00467F2C" w:rsidRPr="00467F2C" w:rsidRDefault="00467F2C" w:rsidP="009C127B">
      <w:pPr>
        <w:autoSpaceDE w:val="0"/>
        <w:autoSpaceDN w:val="0"/>
        <w:adjustRightInd w:val="0"/>
        <w:spacing w:after="0" w:line="240" w:lineRule="auto"/>
        <w:rPr>
          <w:rFonts w:asciiTheme="majorHAnsi" w:hAnsiTheme="majorHAnsi" w:cstheme="majorHAnsi"/>
          <w:b/>
          <w:kern w:val="0"/>
          <w:sz w:val="22"/>
          <w:szCs w:val="22"/>
        </w:rPr>
      </w:pPr>
    </w:p>
    <w:p w14:paraId="2AFAFC39" w14:textId="77777777" w:rsidR="00467F2C" w:rsidRPr="00467F2C" w:rsidRDefault="00467F2C" w:rsidP="00467F2C">
      <w:pPr>
        <w:spacing w:after="100" w:afterAutospacing="1" w:line="240" w:lineRule="auto"/>
        <w:rPr>
          <w:rFonts w:ascii="Arial" w:eastAsia="Times New Roman" w:hAnsi="Arial" w:cs="Arial"/>
          <w:color w:val="2D2D2D"/>
          <w:kern w:val="0"/>
          <w:sz w:val="22"/>
          <w:szCs w:val="22"/>
          <w:lang w:val="en-ZA" w:eastAsia="en-ZA"/>
        </w:rPr>
      </w:pPr>
      <w:r w:rsidRPr="00467F2C">
        <w:rPr>
          <w:rFonts w:ascii="Arial" w:eastAsia="Times New Roman" w:hAnsi="Arial" w:cs="Arial"/>
          <w:b/>
          <w:bCs/>
          <w:color w:val="2D2D2D"/>
          <w:kern w:val="0"/>
          <w:sz w:val="22"/>
          <w:szCs w:val="22"/>
          <w:lang w:val="en-ZA" w:eastAsia="en-ZA"/>
        </w:rPr>
        <w:t>Note to editors:</w:t>
      </w:r>
    </w:p>
    <w:p w14:paraId="79AAD57E" w14:textId="77777777" w:rsidR="00467F2C" w:rsidRPr="00467F2C" w:rsidRDefault="00467F2C" w:rsidP="00467F2C">
      <w:pPr>
        <w:spacing w:after="100" w:afterAutospacing="1" w:line="240" w:lineRule="auto"/>
        <w:rPr>
          <w:rFonts w:ascii="Arial" w:eastAsia="Times New Roman" w:hAnsi="Arial" w:cs="Arial"/>
          <w:color w:val="2D2D2D"/>
          <w:kern w:val="0"/>
          <w:sz w:val="22"/>
          <w:szCs w:val="22"/>
          <w:lang w:val="en-ZA" w:eastAsia="en-ZA"/>
        </w:rPr>
      </w:pPr>
      <w:r w:rsidRPr="00467F2C">
        <w:rPr>
          <w:rFonts w:ascii="Arial" w:eastAsia="Times New Roman" w:hAnsi="Arial" w:cs="Arial"/>
          <w:color w:val="2D2D2D"/>
          <w:kern w:val="0"/>
          <w:sz w:val="22"/>
          <w:szCs w:val="22"/>
          <w:lang w:val="en-ZA" w:eastAsia="en-ZA"/>
        </w:rPr>
        <w:t>The joint venture company was launched and began operation as Hitachi ABB Power Grids on July 1, 2020, and then announced the change of company name to Hitachi Energy on July 1, 2021. Under the leadership of Claudio Facchin as CEO and Yoshihiko Kawamura, Executive Vice President and Executive Officer, CFO of Hitachi, as the Chair of the Board of Hitachi Energy, the company will continue to expand Hitachi's energy solutions business globally as a core part of the company's Social Innovation Business.</w:t>
      </w:r>
    </w:p>
    <w:p w14:paraId="29CD4B38" w14:textId="77777777" w:rsidR="00467F2C" w:rsidRPr="00467F2C" w:rsidRDefault="00467F2C" w:rsidP="00467F2C">
      <w:pPr>
        <w:spacing w:after="100" w:afterAutospacing="1" w:line="240" w:lineRule="auto"/>
        <w:rPr>
          <w:rFonts w:ascii="Arial" w:eastAsia="Times New Roman" w:hAnsi="Arial" w:cs="Arial"/>
          <w:color w:val="2D2D2D"/>
          <w:kern w:val="0"/>
          <w:sz w:val="22"/>
          <w:szCs w:val="22"/>
          <w:lang w:val="en-ZA" w:eastAsia="en-ZA"/>
        </w:rPr>
      </w:pPr>
      <w:r w:rsidRPr="00467F2C">
        <w:rPr>
          <w:rFonts w:ascii="Arial" w:eastAsia="Times New Roman" w:hAnsi="Arial" w:cs="Arial"/>
          <w:color w:val="2D2D2D"/>
          <w:kern w:val="0"/>
          <w:sz w:val="22"/>
          <w:szCs w:val="22"/>
          <w:lang w:val="en-ZA" w:eastAsia="en-ZA"/>
        </w:rPr>
        <w:t>*1 Press release dated December 17, 2018: "Hitachi to Strengthen Energy Solutions Business with the Acquisition of ABB's Power Grids Business"</w:t>
      </w:r>
      <w:r w:rsidRPr="00467F2C">
        <w:rPr>
          <w:rFonts w:ascii="Arial" w:eastAsia="Times New Roman" w:hAnsi="Arial" w:cs="Arial"/>
          <w:color w:val="2D2D2D"/>
          <w:kern w:val="0"/>
          <w:sz w:val="22"/>
          <w:szCs w:val="22"/>
          <w:lang w:val="en-ZA" w:eastAsia="en-ZA"/>
        </w:rPr>
        <w:br/>
      </w:r>
      <w:hyperlink r:id="rId15" w:tgtFrame="_blank" w:history="1">
        <w:r w:rsidRPr="00467F2C">
          <w:rPr>
            <w:rFonts w:ascii="Arial" w:eastAsia="Times New Roman" w:hAnsi="Arial" w:cs="Arial"/>
            <w:color w:val="0000FF"/>
            <w:kern w:val="0"/>
            <w:sz w:val="22"/>
            <w:szCs w:val="22"/>
            <w:u w:val="single"/>
            <w:lang w:val="en-ZA" w:eastAsia="en-ZA"/>
          </w:rPr>
          <w:t>https://www.hitachi.com/New/cnews/month/2018/12/f_181217.pdf</w:t>
        </w:r>
      </w:hyperlink>
    </w:p>
    <w:p w14:paraId="43CB7457" w14:textId="77777777" w:rsidR="00467F2C" w:rsidRPr="00467F2C" w:rsidRDefault="00467F2C" w:rsidP="00467F2C">
      <w:pPr>
        <w:spacing w:after="100" w:afterAutospacing="1" w:line="240" w:lineRule="auto"/>
        <w:rPr>
          <w:rFonts w:ascii="Arial" w:eastAsia="Times New Roman" w:hAnsi="Arial" w:cs="Arial"/>
          <w:color w:val="2D2D2D"/>
          <w:kern w:val="0"/>
          <w:sz w:val="22"/>
          <w:szCs w:val="22"/>
          <w:lang w:val="en-ZA" w:eastAsia="en-ZA"/>
        </w:rPr>
      </w:pPr>
      <w:r w:rsidRPr="00467F2C">
        <w:rPr>
          <w:rFonts w:ascii="Arial" w:eastAsia="Times New Roman" w:hAnsi="Arial" w:cs="Arial"/>
          <w:color w:val="2D2D2D"/>
          <w:kern w:val="0"/>
          <w:sz w:val="22"/>
          <w:szCs w:val="22"/>
          <w:lang w:val="en-ZA" w:eastAsia="en-ZA"/>
        </w:rPr>
        <w:t>*2 Press release dated July 1, 2020: "Hitachi ABB Power Grids commences operations"</w:t>
      </w:r>
      <w:r w:rsidRPr="00467F2C">
        <w:rPr>
          <w:rFonts w:ascii="Arial" w:eastAsia="Times New Roman" w:hAnsi="Arial" w:cs="Arial"/>
          <w:color w:val="2D2D2D"/>
          <w:kern w:val="0"/>
          <w:sz w:val="22"/>
          <w:szCs w:val="22"/>
          <w:lang w:val="en-ZA" w:eastAsia="en-ZA"/>
        </w:rPr>
        <w:br/>
      </w:r>
      <w:hyperlink r:id="rId16" w:tgtFrame="_blank" w:history="1">
        <w:r w:rsidRPr="00467F2C">
          <w:rPr>
            <w:rFonts w:ascii="Arial" w:eastAsia="Times New Roman" w:hAnsi="Arial" w:cs="Arial"/>
            <w:color w:val="0000FF"/>
            <w:kern w:val="0"/>
            <w:sz w:val="22"/>
            <w:szCs w:val="22"/>
            <w:u w:val="single"/>
            <w:lang w:val="en-ZA" w:eastAsia="en-ZA"/>
          </w:rPr>
          <w:t>Hitachi ABB Power Grids commences operations (hitachienergy.com)</w:t>
        </w:r>
      </w:hyperlink>
    </w:p>
    <w:p w14:paraId="6F3B1501" w14:textId="77777777" w:rsidR="00467F2C" w:rsidRPr="00467F2C" w:rsidRDefault="00467F2C" w:rsidP="00467F2C">
      <w:pPr>
        <w:spacing w:after="100" w:afterAutospacing="1" w:line="240" w:lineRule="auto"/>
        <w:rPr>
          <w:rFonts w:ascii="Arial" w:eastAsia="Times New Roman" w:hAnsi="Arial" w:cs="Arial"/>
          <w:color w:val="2D2D2D"/>
          <w:kern w:val="0"/>
          <w:sz w:val="22"/>
          <w:szCs w:val="22"/>
          <w:lang w:val="en-ZA" w:eastAsia="en-ZA"/>
        </w:rPr>
      </w:pPr>
      <w:r w:rsidRPr="00467F2C">
        <w:rPr>
          <w:rFonts w:ascii="Arial" w:eastAsia="Times New Roman" w:hAnsi="Arial" w:cs="Arial"/>
          <w:color w:val="2D2D2D"/>
          <w:kern w:val="0"/>
          <w:sz w:val="22"/>
          <w:szCs w:val="22"/>
          <w:lang w:val="en-ZA" w:eastAsia="en-ZA"/>
        </w:rPr>
        <w:t>*3 Press release dated July 1, 2021: "Hitachi ABB Power Grids is evolving to become Hitachi Energy and broadens commitment to a sustainable energy future"</w:t>
      </w:r>
      <w:r w:rsidRPr="00467F2C">
        <w:rPr>
          <w:rFonts w:ascii="Arial" w:eastAsia="Times New Roman" w:hAnsi="Arial" w:cs="Arial"/>
          <w:color w:val="2D2D2D"/>
          <w:kern w:val="0"/>
          <w:sz w:val="22"/>
          <w:szCs w:val="22"/>
          <w:lang w:val="en-ZA" w:eastAsia="en-ZA"/>
        </w:rPr>
        <w:br/>
      </w:r>
      <w:hyperlink r:id="rId17" w:tgtFrame="_blank" w:history="1">
        <w:r w:rsidRPr="00467F2C">
          <w:rPr>
            <w:rFonts w:ascii="Arial" w:eastAsia="Times New Roman" w:hAnsi="Arial" w:cs="Arial"/>
            <w:color w:val="0000FF"/>
            <w:kern w:val="0"/>
            <w:sz w:val="22"/>
            <w:szCs w:val="22"/>
            <w:u w:val="single"/>
            <w:lang w:val="en-ZA" w:eastAsia="en-ZA"/>
          </w:rPr>
          <w:t>Hitachi ABB Power Grids is evolving to become Hitachi Energy and broadens commitment to a sustainable energy future</w:t>
        </w:r>
      </w:hyperlink>
    </w:p>
    <w:p w14:paraId="48A1BAAD" w14:textId="77777777" w:rsidR="00467F2C" w:rsidRPr="00467F2C" w:rsidRDefault="00467F2C" w:rsidP="00467F2C">
      <w:pPr>
        <w:spacing w:after="0" w:line="240" w:lineRule="auto"/>
        <w:rPr>
          <w:rFonts w:ascii="Arial" w:eastAsia="Times New Roman" w:hAnsi="Arial" w:cs="Arial"/>
          <w:color w:val="2D2D2D"/>
          <w:kern w:val="0"/>
          <w:sz w:val="22"/>
          <w:szCs w:val="22"/>
          <w:lang w:val="en-ZA" w:eastAsia="en-ZA"/>
        </w:rPr>
      </w:pPr>
      <w:r w:rsidRPr="00467F2C">
        <w:rPr>
          <w:rFonts w:ascii="Arial" w:eastAsia="Times New Roman" w:hAnsi="Arial" w:cs="Arial"/>
          <w:color w:val="2D2D2D"/>
          <w:kern w:val="0"/>
          <w:sz w:val="22"/>
          <w:szCs w:val="22"/>
          <w:lang w:val="en-ZA" w:eastAsia="en-ZA"/>
        </w:rPr>
        <w:t>*4 Press release dated October 13, 2021: "Hitachi Energy goes live"</w:t>
      </w:r>
      <w:r w:rsidRPr="00467F2C">
        <w:rPr>
          <w:rFonts w:ascii="Arial" w:eastAsia="Times New Roman" w:hAnsi="Arial" w:cs="Arial"/>
          <w:color w:val="2D2D2D"/>
          <w:kern w:val="0"/>
          <w:sz w:val="22"/>
          <w:szCs w:val="22"/>
          <w:lang w:val="en-ZA" w:eastAsia="en-ZA"/>
        </w:rPr>
        <w:br/>
      </w:r>
      <w:hyperlink r:id="rId18" w:tgtFrame="_blank" w:history="1">
        <w:r w:rsidRPr="00467F2C">
          <w:rPr>
            <w:rFonts w:ascii="Arial" w:eastAsia="Times New Roman" w:hAnsi="Arial" w:cs="Arial"/>
            <w:color w:val="0000FF"/>
            <w:kern w:val="0"/>
            <w:sz w:val="22"/>
            <w:szCs w:val="22"/>
            <w:u w:val="single"/>
            <w:lang w:val="en-ZA" w:eastAsia="en-ZA"/>
          </w:rPr>
          <w:t>Hitachi Energy goes live</w:t>
        </w:r>
      </w:hyperlink>
    </w:p>
    <w:p w14:paraId="3B14E1BB" w14:textId="77777777" w:rsidR="00467F2C" w:rsidRPr="00467F2C" w:rsidRDefault="00467F2C" w:rsidP="00467F2C">
      <w:pPr>
        <w:spacing w:after="0" w:line="240" w:lineRule="auto"/>
        <w:rPr>
          <w:rFonts w:ascii="Arial" w:eastAsia="Times New Roman" w:hAnsi="Arial" w:cs="Arial"/>
          <w:color w:val="2D2D2D"/>
          <w:kern w:val="0"/>
          <w:sz w:val="22"/>
          <w:szCs w:val="22"/>
          <w:lang w:val="en-ZA" w:eastAsia="en-ZA"/>
        </w:rPr>
      </w:pPr>
    </w:p>
    <w:p w14:paraId="2B248D57" w14:textId="77777777" w:rsidR="00467F2C" w:rsidRPr="00467F2C" w:rsidRDefault="00467F2C" w:rsidP="00467F2C">
      <w:pPr>
        <w:spacing w:after="0" w:line="240" w:lineRule="auto"/>
        <w:rPr>
          <w:rFonts w:ascii="Arial" w:eastAsia="Times New Roman" w:hAnsi="Arial" w:cs="Arial"/>
          <w:color w:val="2D2D2D"/>
          <w:kern w:val="0"/>
          <w:sz w:val="22"/>
          <w:szCs w:val="22"/>
          <w:lang w:val="en-ZA" w:eastAsia="en-ZA"/>
        </w:rPr>
      </w:pPr>
    </w:p>
    <w:p w14:paraId="3CA655A3" w14:textId="144C9FA0" w:rsidR="009C127B" w:rsidRDefault="009C127B" w:rsidP="009C127B">
      <w:pPr>
        <w:autoSpaceDE w:val="0"/>
        <w:autoSpaceDN w:val="0"/>
        <w:adjustRightInd w:val="0"/>
        <w:spacing w:after="0" w:line="240" w:lineRule="auto"/>
        <w:rPr>
          <w:rFonts w:cstheme="minorHAnsi"/>
          <w:kern w:val="0"/>
          <w:sz w:val="22"/>
          <w:szCs w:val="22"/>
        </w:rPr>
      </w:pPr>
      <w:r w:rsidRPr="00ED6404">
        <w:rPr>
          <w:rFonts w:cstheme="minorHAnsi"/>
          <w:kern w:val="0"/>
          <w:sz w:val="22"/>
          <w:szCs w:val="22"/>
        </w:rPr>
        <w:t>END</w:t>
      </w:r>
      <w:r w:rsidR="00A87D4D">
        <w:rPr>
          <w:rFonts w:cstheme="minorHAnsi"/>
          <w:kern w:val="0"/>
          <w:sz w:val="22"/>
          <w:szCs w:val="22"/>
        </w:rPr>
        <w:t>S</w:t>
      </w:r>
      <w:r w:rsidR="00777364">
        <w:rPr>
          <w:rFonts w:cstheme="minorHAnsi"/>
          <w:kern w:val="0"/>
          <w:sz w:val="22"/>
          <w:szCs w:val="22"/>
        </w:rPr>
        <w:t>.</w:t>
      </w:r>
    </w:p>
    <w:p w14:paraId="364BBE28" w14:textId="77777777" w:rsidR="00777364" w:rsidRPr="00ED6404" w:rsidRDefault="00777364" w:rsidP="009C127B">
      <w:pPr>
        <w:autoSpaceDE w:val="0"/>
        <w:autoSpaceDN w:val="0"/>
        <w:adjustRightInd w:val="0"/>
        <w:spacing w:after="0" w:line="240" w:lineRule="auto"/>
        <w:rPr>
          <w:rFonts w:eastAsia="Times New Roman" w:cstheme="minorHAnsi"/>
          <w:sz w:val="22"/>
          <w:szCs w:val="22"/>
          <w:lang w:eastAsia="en-ZA"/>
        </w:rPr>
      </w:pPr>
    </w:p>
    <w:p w14:paraId="62B20EA2" w14:textId="77777777" w:rsidR="00777364" w:rsidRDefault="00777364" w:rsidP="00777364">
      <w:pPr>
        <w:spacing w:after="0"/>
        <w:jc w:val="both"/>
        <w:rPr>
          <w:rFonts w:ascii="Arial" w:eastAsia="SimSun" w:hAnsi="Arial" w:cs="Arial"/>
          <w:b/>
          <w:bCs/>
          <w:sz w:val="20"/>
          <w:szCs w:val="20"/>
        </w:rPr>
      </w:pPr>
      <w:r w:rsidRPr="00DF4D3D">
        <w:rPr>
          <w:rFonts w:ascii="Arial" w:eastAsia="SimSun" w:hAnsi="Arial" w:cs="Arial"/>
          <w:b/>
          <w:bCs/>
          <w:sz w:val="20"/>
          <w:szCs w:val="20"/>
        </w:rPr>
        <w:t xml:space="preserve">About Hitachi Energy Ltd. </w:t>
      </w:r>
    </w:p>
    <w:p w14:paraId="5A984AAB" w14:textId="77777777" w:rsidR="00467F2C" w:rsidRPr="00DF4D3D" w:rsidRDefault="00467F2C" w:rsidP="00777364">
      <w:pPr>
        <w:spacing w:after="0"/>
        <w:jc w:val="both"/>
        <w:rPr>
          <w:rFonts w:ascii="Arial" w:eastAsia="SimSun" w:hAnsi="Arial" w:cs="Arial"/>
          <w:b/>
          <w:bCs/>
          <w:sz w:val="20"/>
          <w:szCs w:val="20"/>
        </w:rPr>
      </w:pPr>
    </w:p>
    <w:p w14:paraId="63E85509" w14:textId="5F81AEFD"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w:t>
      </w:r>
      <w:r>
        <w:rPr>
          <w:rFonts w:ascii="Arial" w:eastAsia="SimSun" w:hAnsi="Arial" w:cs="Arial"/>
          <w:sz w:val="20"/>
          <w:szCs w:val="20"/>
        </w:rPr>
        <w:t>i</w:t>
      </w:r>
      <w:r w:rsidRPr="00DF4D3D">
        <w:rPr>
          <w:rFonts w:ascii="Arial" w:eastAsia="SimSun" w:hAnsi="Arial" w:cs="Arial"/>
          <w:sz w:val="20"/>
          <w:szCs w:val="20"/>
        </w:rPr>
        <w:t xml:space="preserve">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63132D0F" w14:textId="77777777" w:rsidR="00777364" w:rsidRPr="00DF4D3D" w:rsidRDefault="00951735" w:rsidP="00777364">
      <w:pPr>
        <w:spacing w:after="0"/>
        <w:jc w:val="both"/>
        <w:rPr>
          <w:rFonts w:ascii="Arial" w:eastAsia="SimSun" w:hAnsi="Arial" w:cs="Arial"/>
          <w:sz w:val="20"/>
          <w:szCs w:val="20"/>
        </w:rPr>
      </w:pPr>
      <w:hyperlink r:id="rId19" w:history="1">
        <w:r w:rsidR="00777364" w:rsidRPr="00DF4D3D">
          <w:rPr>
            <w:rFonts w:ascii="Arial" w:eastAsia="SimSun" w:hAnsi="Arial" w:cs="Arial"/>
            <w:color w:val="FF0026"/>
            <w:sz w:val="20"/>
            <w:szCs w:val="20"/>
          </w:rPr>
          <w:t>https://www.hitachienergy.com</w:t>
        </w:r>
      </w:hyperlink>
      <w:r w:rsidR="00777364" w:rsidRPr="00DF4D3D">
        <w:rPr>
          <w:rFonts w:ascii="Arial" w:eastAsia="SimSun" w:hAnsi="Arial" w:cs="Arial"/>
          <w:sz w:val="20"/>
          <w:szCs w:val="20"/>
        </w:rPr>
        <w:t xml:space="preserve">  </w:t>
      </w:r>
    </w:p>
    <w:p w14:paraId="71B47CC7" w14:textId="77777777" w:rsidR="00777364" w:rsidRPr="00DF4D3D" w:rsidRDefault="00951735" w:rsidP="00777364">
      <w:pPr>
        <w:spacing w:after="0"/>
        <w:jc w:val="both"/>
        <w:rPr>
          <w:rFonts w:ascii="Arial" w:eastAsia="SimSun" w:hAnsi="Arial" w:cs="Arial"/>
          <w:sz w:val="20"/>
          <w:szCs w:val="20"/>
        </w:rPr>
      </w:pPr>
      <w:hyperlink r:id="rId20" w:history="1">
        <w:r w:rsidR="00777364" w:rsidRPr="00DF4D3D">
          <w:rPr>
            <w:rFonts w:ascii="Arial" w:eastAsia="SimSun" w:hAnsi="Arial" w:cs="Arial"/>
            <w:color w:val="FF0026"/>
            <w:sz w:val="20"/>
            <w:szCs w:val="20"/>
          </w:rPr>
          <w:t>https://www.linkedin.com/company/hitachienergy</w:t>
        </w:r>
      </w:hyperlink>
      <w:r w:rsidR="00777364" w:rsidRPr="00DF4D3D">
        <w:rPr>
          <w:rFonts w:ascii="Arial" w:eastAsia="SimSun" w:hAnsi="Arial" w:cs="Arial"/>
          <w:sz w:val="20"/>
          <w:szCs w:val="20"/>
        </w:rPr>
        <w:t xml:space="preserve">  </w:t>
      </w:r>
    </w:p>
    <w:p w14:paraId="3423C073" w14:textId="0E6F8B49" w:rsidR="00777364" w:rsidRDefault="00951735" w:rsidP="00777364">
      <w:pPr>
        <w:spacing w:after="0"/>
        <w:jc w:val="both"/>
        <w:rPr>
          <w:rFonts w:ascii="Arial" w:eastAsia="SimSun" w:hAnsi="Arial" w:cs="Arial"/>
          <w:sz w:val="20"/>
          <w:szCs w:val="20"/>
        </w:rPr>
      </w:pPr>
      <w:hyperlink r:id="rId21" w:history="1">
        <w:r w:rsidR="00777364" w:rsidRPr="00DF4D3D">
          <w:rPr>
            <w:rFonts w:ascii="Arial" w:eastAsia="SimSun" w:hAnsi="Arial" w:cs="Arial"/>
            <w:color w:val="FF0026"/>
            <w:sz w:val="20"/>
            <w:szCs w:val="20"/>
          </w:rPr>
          <w:t>https://twitter.com/HitachiEnergy</w:t>
        </w:r>
      </w:hyperlink>
      <w:r w:rsidR="00777364" w:rsidRPr="00DF4D3D">
        <w:rPr>
          <w:rFonts w:ascii="Arial" w:eastAsia="SimSun" w:hAnsi="Arial" w:cs="Arial"/>
          <w:sz w:val="20"/>
          <w:szCs w:val="20"/>
        </w:rPr>
        <w:t xml:space="preserve"> </w:t>
      </w:r>
    </w:p>
    <w:p w14:paraId="683F24CB" w14:textId="59735F34" w:rsidR="000476AC" w:rsidRDefault="000476AC" w:rsidP="00777364">
      <w:pPr>
        <w:spacing w:after="0"/>
        <w:jc w:val="both"/>
        <w:rPr>
          <w:rFonts w:ascii="Arial" w:eastAsia="SimSun" w:hAnsi="Arial" w:cs="Arial"/>
          <w:sz w:val="20"/>
          <w:szCs w:val="20"/>
        </w:rPr>
      </w:pPr>
    </w:p>
    <w:p w14:paraId="28B1A77D" w14:textId="77777777" w:rsidR="00195E48" w:rsidRDefault="00195E48" w:rsidP="000476AC">
      <w:pPr>
        <w:spacing w:after="0"/>
        <w:jc w:val="both"/>
        <w:rPr>
          <w:rFonts w:ascii="Arial" w:eastAsia="SimSun" w:hAnsi="Arial" w:cs="Arial"/>
          <w:b/>
          <w:bCs/>
          <w:sz w:val="20"/>
          <w:szCs w:val="20"/>
        </w:rPr>
      </w:pPr>
    </w:p>
    <w:p w14:paraId="0969865C" w14:textId="2AB06C31" w:rsidR="000476AC" w:rsidRDefault="000476AC" w:rsidP="000476AC">
      <w:pPr>
        <w:spacing w:after="0"/>
        <w:jc w:val="both"/>
        <w:rPr>
          <w:rFonts w:ascii="Arial" w:eastAsia="SimSun" w:hAnsi="Arial" w:cs="Arial"/>
          <w:b/>
          <w:bCs/>
          <w:sz w:val="20"/>
          <w:szCs w:val="20"/>
        </w:rPr>
      </w:pPr>
      <w:r w:rsidRPr="000476AC">
        <w:rPr>
          <w:rFonts w:ascii="Arial" w:eastAsia="SimSun" w:hAnsi="Arial" w:cs="Arial"/>
          <w:b/>
          <w:bCs/>
          <w:sz w:val="20"/>
          <w:szCs w:val="20"/>
        </w:rPr>
        <w:lastRenderedPageBreak/>
        <w:t>About Hitachi, Ltd.</w:t>
      </w:r>
    </w:p>
    <w:p w14:paraId="1B27A2AB" w14:textId="77777777" w:rsidR="00467F2C" w:rsidRPr="000476AC" w:rsidRDefault="00467F2C" w:rsidP="000476AC">
      <w:pPr>
        <w:spacing w:after="0"/>
        <w:jc w:val="both"/>
        <w:rPr>
          <w:rFonts w:ascii="Arial" w:eastAsia="SimSun" w:hAnsi="Arial" w:cs="Arial"/>
          <w:b/>
          <w:bCs/>
          <w:sz w:val="20"/>
          <w:szCs w:val="20"/>
        </w:rPr>
      </w:pPr>
    </w:p>
    <w:p w14:paraId="0968AABE" w14:textId="6BC03625" w:rsidR="000476AC" w:rsidRDefault="000476AC" w:rsidP="00777364">
      <w:pPr>
        <w:spacing w:after="0"/>
        <w:jc w:val="both"/>
        <w:rPr>
          <w:rFonts w:ascii="Arial" w:eastAsia="SimSun" w:hAnsi="Arial" w:cs="Arial"/>
          <w:sz w:val="20"/>
          <w:szCs w:val="20"/>
        </w:rPr>
      </w:pPr>
      <w:r w:rsidRPr="000476AC">
        <w:rPr>
          <w:rFonts w:ascii="Arial" w:eastAsia="SimSun" w:hAnsi="Arial" w:cs="Arial"/>
          <w:sz w:val="20"/>
          <w:szCs w:val="20"/>
        </w:rPr>
        <w:t xml:space="preserve">Hitachi drives Social Innovation Business, creating a sustainable society with data and technology. We will solve customers' and society's challenges with Lumada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22" w:history="1">
        <w:r w:rsidRPr="00214760">
          <w:rPr>
            <w:rStyle w:val="Hyperlink"/>
            <w:rFonts w:ascii="Arial" w:eastAsia="SimSun" w:hAnsi="Arial" w:cs="Arial"/>
            <w:sz w:val="20"/>
            <w:szCs w:val="20"/>
          </w:rPr>
          <w:t>https://www.hitachi.com</w:t>
        </w:r>
      </w:hyperlink>
      <w:r>
        <w:rPr>
          <w:rFonts w:ascii="Arial" w:eastAsia="SimSun" w:hAnsi="Arial" w:cs="Arial"/>
          <w:sz w:val="20"/>
          <w:szCs w:val="20"/>
        </w:rPr>
        <w:t xml:space="preserve">. </w:t>
      </w:r>
    </w:p>
    <w:p w14:paraId="79004F4A" w14:textId="77777777" w:rsidR="00467F2C" w:rsidRDefault="00467F2C" w:rsidP="00777364">
      <w:pPr>
        <w:spacing w:after="0"/>
        <w:jc w:val="both"/>
        <w:rPr>
          <w:rFonts w:ascii="Arial" w:eastAsia="SimSun" w:hAnsi="Arial" w:cs="Arial"/>
          <w:sz w:val="20"/>
          <w:szCs w:val="20"/>
        </w:rPr>
      </w:pPr>
    </w:p>
    <w:p w14:paraId="2839B2DF" w14:textId="77777777" w:rsidR="00467F2C" w:rsidRPr="00DF4D3D" w:rsidRDefault="00467F2C" w:rsidP="00467F2C">
      <w:pPr>
        <w:spacing w:after="0"/>
        <w:jc w:val="both"/>
        <w:rPr>
          <w:rFonts w:ascii="Arial" w:eastAsia="SimSun" w:hAnsi="Arial" w:cs="Arial"/>
          <w:sz w:val="20"/>
          <w:szCs w:val="20"/>
        </w:rPr>
      </w:pPr>
      <w:r w:rsidRPr="00DF4D3D">
        <w:rPr>
          <w:rFonts w:ascii="Arial" w:eastAsia="SimSun" w:hAnsi="Arial" w:cs="Arial"/>
          <w:sz w:val="20"/>
          <w:szCs w:val="20"/>
        </w:rPr>
        <w:t>Contact:</w:t>
      </w:r>
    </w:p>
    <w:p w14:paraId="488FE2C9" w14:textId="77777777" w:rsidR="00467F2C" w:rsidRPr="00DF4D3D" w:rsidRDefault="00467F2C" w:rsidP="00467F2C">
      <w:pPr>
        <w:spacing w:after="0"/>
        <w:jc w:val="both"/>
        <w:rPr>
          <w:rFonts w:ascii="Arial" w:eastAsia="SimSun" w:hAnsi="Arial" w:cs="Arial"/>
          <w:sz w:val="20"/>
          <w:szCs w:val="20"/>
        </w:rPr>
      </w:pPr>
      <w:r>
        <w:rPr>
          <w:rFonts w:ascii="Arial" w:eastAsia="SimSun" w:hAnsi="Arial" w:cs="Arial"/>
          <w:sz w:val="20"/>
          <w:szCs w:val="20"/>
        </w:rPr>
        <w:t>Jocelyn Chang</w:t>
      </w:r>
    </w:p>
    <w:p w14:paraId="52FC27B0" w14:textId="77777777" w:rsidR="00467F2C" w:rsidRPr="00DF4D3D" w:rsidRDefault="00467F2C" w:rsidP="00467F2C">
      <w:pPr>
        <w:spacing w:after="0"/>
        <w:jc w:val="both"/>
        <w:rPr>
          <w:rFonts w:ascii="Arial" w:eastAsia="SimSun" w:hAnsi="Arial" w:cs="Arial"/>
          <w:sz w:val="20"/>
          <w:szCs w:val="20"/>
        </w:rPr>
      </w:pPr>
      <w:r>
        <w:rPr>
          <w:rFonts w:ascii="Arial" w:eastAsia="SimSun" w:hAnsi="Arial" w:cs="Arial"/>
          <w:sz w:val="20"/>
          <w:szCs w:val="20"/>
        </w:rPr>
        <w:t>Head of Media Strategy &amp; Global Media Relations</w:t>
      </w:r>
    </w:p>
    <w:p w14:paraId="2E8B6FA4" w14:textId="77777777" w:rsidR="00467F2C" w:rsidRPr="00DF4D3D" w:rsidRDefault="00467F2C" w:rsidP="00467F2C">
      <w:pPr>
        <w:spacing w:after="0"/>
        <w:jc w:val="both"/>
        <w:rPr>
          <w:rFonts w:ascii="Arial" w:eastAsia="SimSun" w:hAnsi="Arial" w:cs="Arial"/>
          <w:sz w:val="20"/>
          <w:szCs w:val="20"/>
        </w:rPr>
      </w:pPr>
      <w:r w:rsidRPr="00DF4D3D">
        <w:rPr>
          <w:rFonts w:ascii="Arial" w:eastAsia="SimSun" w:hAnsi="Arial" w:cs="Arial"/>
          <w:sz w:val="20"/>
          <w:szCs w:val="20"/>
        </w:rPr>
        <w:t>Hitachi Energy Ltd.</w:t>
      </w:r>
    </w:p>
    <w:p w14:paraId="3646C537" w14:textId="77777777" w:rsidR="00467F2C" w:rsidRDefault="00467F2C" w:rsidP="00467F2C">
      <w:pPr>
        <w:spacing w:after="0"/>
        <w:jc w:val="both"/>
        <w:rPr>
          <w:rFonts w:ascii="Arial" w:eastAsia="SimSun" w:hAnsi="Arial" w:cs="Arial"/>
          <w:sz w:val="20"/>
          <w:szCs w:val="20"/>
        </w:rPr>
      </w:pPr>
      <w:r w:rsidRPr="00DF4D3D">
        <w:rPr>
          <w:rFonts w:ascii="Arial" w:eastAsia="SimSun" w:hAnsi="Arial" w:cs="Arial"/>
          <w:sz w:val="20"/>
          <w:szCs w:val="20"/>
        </w:rPr>
        <w:t>+</w:t>
      </w:r>
      <w:r>
        <w:rPr>
          <w:rFonts w:ascii="Arial" w:eastAsia="SimSun" w:hAnsi="Arial" w:cs="Arial"/>
          <w:sz w:val="20"/>
          <w:szCs w:val="20"/>
        </w:rPr>
        <w:t>41 79 384 7775</w:t>
      </w:r>
    </w:p>
    <w:p w14:paraId="54089244" w14:textId="77777777" w:rsidR="00467F2C" w:rsidRPr="000476AC" w:rsidRDefault="00467F2C" w:rsidP="00467F2C">
      <w:pPr>
        <w:spacing w:after="0"/>
        <w:jc w:val="both"/>
        <w:rPr>
          <w:rFonts w:ascii="Arial" w:eastAsia="SimSun" w:hAnsi="Arial" w:cs="Arial"/>
          <w:sz w:val="20"/>
          <w:szCs w:val="20"/>
        </w:rPr>
      </w:pPr>
      <w:hyperlink r:id="rId23" w:history="1">
        <w:r w:rsidRPr="00214760">
          <w:rPr>
            <w:rStyle w:val="Hyperlink"/>
            <w:rFonts w:ascii="Arial" w:eastAsia="SimSun" w:hAnsi="Arial" w:cs="Arial"/>
            <w:sz w:val="20"/>
            <w:szCs w:val="20"/>
          </w:rPr>
          <w:t>jocelyn.chang@hitachienergy.com</w:t>
        </w:r>
      </w:hyperlink>
      <w:r>
        <w:rPr>
          <w:rFonts w:ascii="Arial" w:eastAsia="SimSun" w:hAnsi="Arial" w:cs="Arial"/>
          <w:sz w:val="20"/>
          <w:szCs w:val="20"/>
        </w:rPr>
        <w:t xml:space="preserve"> </w:t>
      </w:r>
    </w:p>
    <w:p w14:paraId="1BEECE22" w14:textId="77777777" w:rsidR="00467F2C" w:rsidRPr="00DF4D3D" w:rsidRDefault="00467F2C" w:rsidP="00777364">
      <w:pPr>
        <w:spacing w:after="0"/>
        <w:jc w:val="both"/>
        <w:rPr>
          <w:rFonts w:ascii="Arial" w:eastAsia="SimSun" w:hAnsi="Arial" w:cs="Arial"/>
          <w:sz w:val="20"/>
          <w:szCs w:val="20"/>
        </w:rPr>
      </w:pPr>
    </w:p>
    <w:p w14:paraId="5A9AD3D1" w14:textId="77777777" w:rsidR="00777364" w:rsidRDefault="00777364" w:rsidP="00777364">
      <w:pPr>
        <w:spacing w:after="0"/>
        <w:jc w:val="both"/>
        <w:rPr>
          <w:rFonts w:ascii="Arial" w:eastAsia="SimSun" w:hAnsi="Arial" w:cs="Arial"/>
          <w:sz w:val="20"/>
          <w:szCs w:val="20"/>
        </w:rPr>
      </w:pPr>
    </w:p>
    <w:p w14:paraId="24C2F099" w14:textId="77777777" w:rsidR="00467F2C" w:rsidRPr="00DF4D3D" w:rsidRDefault="00467F2C" w:rsidP="00777364">
      <w:pPr>
        <w:spacing w:after="0"/>
        <w:jc w:val="both"/>
        <w:rPr>
          <w:rFonts w:ascii="Arial" w:eastAsia="SimSun" w:hAnsi="Arial" w:cs="Arial"/>
          <w:sz w:val="20"/>
          <w:szCs w:val="20"/>
        </w:rPr>
      </w:pPr>
    </w:p>
    <w:p w14:paraId="5E214B96" w14:textId="48EA87A3" w:rsidR="00FF422C" w:rsidRPr="000476AC" w:rsidRDefault="000476AC" w:rsidP="00777364">
      <w:pPr>
        <w:spacing w:after="0"/>
        <w:jc w:val="both"/>
        <w:rPr>
          <w:rFonts w:ascii="Arial" w:eastAsia="SimSun" w:hAnsi="Arial" w:cs="Arial"/>
          <w:sz w:val="20"/>
          <w:szCs w:val="20"/>
        </w:rPr>
      </w:pPr>
      <w:r>
        <w:rPr>
          <w:rFonts w:ascii="Arial" w:eastAsia="SimSun" w:hAnsi="Arial" w:cs="Arial"/>
          <w:sz w:val="20"/>
          <w:szCs w:val="20"/>
        </w:rPr>
        <w:t xml:space="preserve"> </w:t>
      </w:r>
    </w:p>
    <w:sectPr w:rsidR="00FF422C" w:rsidRPr="000476AC" w:rsidSect="00E303A6">
      <w:headerReference w:type="even" r:id="rId24"/>
      <w:headerReference w:type="default" r:id="rId25"/>
      <w:footerReference w:type="even" r:id="rId26"/>
      <w:footerReference w:type="default" r:id="rId27"/>
      <w:headerReference w:type="first" r:id="rId28"/>
      <w:footerReference w:type="first" r:id="rId29"/>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2E0AC" w14:textId="77777777" w:rsidR="00951735" w:rsidRDefault="00951735" w:rsidP="00C60D54">
      <w:pPr>
        <w:pStyle w:val="EndnoteSeparator"/>
      </w:pPr>
    </w:p>
    <w:p w14:paraId="2B51F3E3" w14:textId="77777777" w:rsidR="00951735" w:rsidRDefault="00951735"/>
  </w:endnote>
  <w:endnote w:type="continuationSeparator" w:id="0">
    <w:p w14:paraId="3EB86B31" w14:textId="77777777" w:rsidR="00951735" w:rsidRDefault="00951735" w:rsidP="00C60D54">
      <w:pPr>
        <w:pStyle w:val="EndnoteSeparatorcont"/>
      </w:pPr>
    </w:p>
    <w:p w14:paraId="43F51390" w14:textId="77777777" w:rsidR="00951735" w:rsidRDefault="00951735"/>
  </w:endnote>
  <w:endnote w:type="continuationNotice" w:id="1">
    <w:p w14:paraId="0D104BAD" w14:textId="77777777" w:rsidR="00951735" w:rsidRDefault="00951735" w:rsidP="00C60D54">
      <w:pPr>
        <w:pStyle w:val="EndnoteContinuation"/>
      </w:pPr>
    </w:p>
    <w:p w14:paraId="4533E325" w14:textId="77777777" w:rsidR="00951735" w:rsidRDefault="00951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9F" w:csb1="00000000"/>
    <w:embedRegular r:id="rId1" w:fontKey="{85DFC924-E4B5-4005-804E-068936078361}"/>
    <w:embedBold r:id="rId2" w:fontKey="{33DD8E02-CF98-4B10-8874-7B9C23FEEA02}"/>
    <w:embedItalic r:id="rId3" w:fontKey="{EFAC06FB-A84F-44C9-A4C7-1A58DFF0F141}"/>
    <w:embedBoldItalic r:id="rId4" w:fontKey="{1F6704E2-2C65-4B7E-8906-4F1B0852B8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29CC3A90-14B3-41B2-AF26-E79131D3D3D0}"/>
  </w:font>
  <w:font w:name="Segoe UI">
    <w:panose1 w:val="020B0502040204020203"/>
    <w:charset w:val="00"/>
    <w:family w:val="swiss"/>
    <w:pitch w:val="variable"/>
    <w:sig w:usb0="E4002EFF" w:usb1="C000E47F" w:usb2="00000009" w:usb3="00000000" w:csb0="000001FF" w:csb1="00000000"/>
    <w:embedRegular r:id="rId6" w:fontKey="{1A390524-D7A0-4CBC-B11C-3C896AD30F34}"/>
  </w:font>
  <w:font w:name="Consolas">
    <w:panose1 w:val="020B0609020204030204"/>
    <w:charset w:val="00"/>
    <w:family w:val="modern"/>
    <w:pitch w:val="fixed"/>
    <w:sig w:usb0="E00006FF" w:usb1="0000FCFF" w:usb2="00000001" w:usb3="00000000" w:csb0="0000019F" w:csb1="00000000"/>
    <w:embedRegular r:id="rId7" w:fontKey="{4911D60A-5BA3-424B-B6A3-0046D316B457}"/>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23E86" w14:textId="77777777" w:rsidR="0058613E" w:rsidRDefault="005861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42EB4" w14:textId="77777777" w:rsidR="002A2F6D" w:rsidRPr="00BF78F2" w:rsidRDefault="002A2F6D" w:rsidP="009F3962">
    <w:pPr>
      <w:spacing w:after="0" w:line="240" w:lineRule="auto"/>
      <w:ind w:left="-1008"/>
      <w:jc w:val="center"/>
      <w:rPr>
        <w:sz w:val="16"/>
        <w:szCs w:val="16"/>
      </w:rPr>
    </w:pPr>
  </w:p>
  <w:p w14:paraId="4740A541"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1B76E2E" w14:textId="77777777" w:rsidTr="009F3962">
      <w:trPr>
        <w:trHeight w:val="284"/>
      </w:trPr>
      <w:tc>
        <w:tcPr>
          <w:tcW w:w="5000" w:type="pct"/>
          <w:tcBorders>
            <w:top w:val="nil"/>
            <w:bottom w:val="nil"/>
            <w:right w:val="nil"/>
          </w:tcBorders>
          <w:vAlign w:val="center"/>
        </w:tcPr>
        <w:p w14:paraId="16107DD1" w14:textId="77777777"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4579">
            <w:rPr>
              <w:b/>
              <w:bCs/>
              <w:noProof/>
              <w:sz w:val="14"/>
              <w:szCs w:val="18"/>
            </w:rPr>
            <w:t>3</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4579">
            <w:rPr>
              <w:b/>
              <w:bCs/>
              <w:noProof/>
              <w:sz w:val="14"/>
              <w:szCs w:val="18"/>
            </w:rPr>
            <w:t>3</w:t>
          </w:r>
          <w:r w:rsidRPr="003C0941">
            <w:rPr>
              <w:b/>
              <w:bCs/>
              <w:sz w:val="14"/>
              <w:szCs w:val="18"/>
            </w:rPr>
            <w:fldChar w:fldCharType="end"/>
          </w:r>
        </w:p>
      </w:tc>
    </w:tr>
  </w:tbl>
  <w:p w14:paraId="450A977A" w14:textId="77777777" w:rsidR="0081570E" w:rsidRPr="002A2F6D" w:rsidRDefault="0081570E" w:rsidP="009F3962">
    <w:pPr>
      <w:spacing w:after="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1DDF5" w14:textId="77777777"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30D51B7B" wp14:editId="7A8C0B28">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578CD3D9" w14:textId="77777777" w:rsidR="00C520D6" w:rsidRPr="00BF78F2" w:rsidRDefault="00C520D6" w:rsidP="009F3962">
    <w:pPr>
      <w:spacing w:after="0" w:line="240" w:lineRule="auto"/>
      <w:ind w:left="-1008"/>
      <w:jc w:val="center"/>
      <w:rPr>
        <w:sz w:val="16"/>
        <w:szCs w:val="16"/>
      </w:rPr>
    </w:pPr>
  </w:p>
  <w:p w14:paraId="50A80F7C"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195E48">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195E48">
      <w:rPr>
        <w:b/>
        <w:bCs/>
        <w:noProof/>
        <w:sz w:val="14"/>
        <w:szCs w:val="18"/>
      </w:rPr>
      <w:t>3</w:t>
    </w:r>
    <w:r w:rsidRPr="003C0941">
      <w:rPr>
        <w:b/>
        <w:bCs/>
        <w:sz w:val="14"/>
        <w:szCs w:val="18"/>
      </w:rPr>
      <w:fldChar w:fldCharType="end"/>
    </w:r>
  </w:p>
  <w:p w14:paraId="5A66F837" w14:textId="77777777" w:rsidR="00C520D6" w:rsidRDefault="00C520D6" w:rsidP="009F396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A0B47" w14:textId="77777777" w:rsidR="00951735" w:rsidRDefault="00951735" w:rsidP="004266B9">
      <w:pPr>
        <w:pStyle w:val="FootnoteSeparator"/>
      </w:pPr>
    </w:p>
    <w:p w14:paraId="00EF6A47" w14:textId="77777777" w:rsidR="00951735" w:rsidRDefault="00951735"/>
  </w:footnote>
  <w:footnote w:type="continuationSeparator" w:id="0">
    <w:p w14:paraId="7E5BAADB" w14:textId="77777777" w:rsidR="00951735" w:rsidRDefault="00951735" w:rsidP="004266B9">
      <w:pPr>
        <w:pStyle w:val="FootnoteSeparatorcont"/>
      </w:pPr>
    </w:p>
    <w:p w14:paraId="1DB684A1" w14:textId="77777777" w:rsidR="00951735" w:rsidRDefault="00951735"/>
  </w:footnote>
  <w:footnote w:type="continuationNotice" w:id="1">
    <w:p w14:paraId="7F35D9EF" w14:textId="77777777" w:rsidR="00951735" w:rsidRDefault="00951735" w:rsidP="004266B9">
      <w:pPr>
        <w:pStyle w:val="FootnoteContinuation"/>
      </w:pPr>
    </w:p>
    <w:p w14:paraId="4FF69757" w14:textId="77777777" w:rsidR="00951735" w:rsidRDefault="009517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F702" w14:textId="77777777" w:rsidR="0058613E" w:rsidRDefault="005861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1EA7007C" w14:paraId="5DC9199C" w14:textId="77777777" w:rsidTr="1EA7007C">
      <w:tc>
        <w:tcPr>
          <w:tcW w:w="3130" w:type="dxa"/>
        </w:tcPr>
        <w:p w14:paraId="6867DF97" w14:textId="77777777" w:rsidR="1EA7007C" w:rsidRDefault="1EA7007C" w:rsidP="1EA7007C">
          <w:pPr>
            <w:pStyle w:val="Header"/>
            <w:ind w:left="-115"/>
            <w:rPr>
              <w:szCs w:val="16"/>
            </w:rPr>
          </w:pPr>
        </w:p>
      </w:tc>
      <w:tc>
        <w:tcPr>
          <w:tcW w:w="3130" w:type="dxa"/>
        </w:tcPr>
        <w:p w14:paraId="73F98F86" w14:textId="77777777" w:rsidR="1EA7007C" w:rsidRDefault="1EA7007C" w:rsidP="1EA7007C">
          <w:pPr>
            <w:pStyle w:val="Header"/>
            <w:jc w:val="center"/>
            <w:rPr>
              <w:szCs w:val="16"/>
            </w:rPr>
          </w:pPr>
        </w:p>
      </w:tc>
      <w:tc>
        <w:tcPr>
          <w:tcW w:w="3130" w:type="dxa"/>
        </w:tcPr>
        <w:p w14:paraId="4804088E" w14:textId="77777777" w:rsidR="1EA7007C" w:rsidRDefault="1EA7007C" w:rsidP="1EA7007C">
          <w:pPr>
            <w:pStyle w:val="Header"/>
            <w:ind w:right="-115"/>
            <w:jc w:val="right"/>
            <w:rPr>
              <w:szCs w:val="16"/>
            </w:rPr>
          </w:pPr>
        </w:p>
      </w:tc>
    </w:tr>
  </w:tbl>
  <w:p w14:paraId="06E85057" w14:textId="77777777" w:rsidR="1EA7007C" w:rsidRDefault="1EA7007C" w:rsidP="1EA7007C">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2EB01" w14:textId="77777777"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23975976" wp14:editId="004FC1FD">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78FE5BAD" w14:textId="77777777"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0ED1AA48" wp14:editId="1C7E3572">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B9D06E"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511005A4" w14:textId="77777777" w:rsidR="00C520D6" w:rsidRPr="0059773B" w:rsidRDefault="00C520D6">
    <w:pPr>
      <w:rPr>
        <w:color w:val="FF0026"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Q0NTM0NjYyNjFW0lEKTi0uzszPAymwrAUAQafWFSwAAAA="/>
  </w:docVars>
  <w:rsids>
    <w:rsidRoot w:val="00134A93"/>
    <w:rsid w:val="00001506"/>
    <w:rsid w:val="000024F0"/>
    <w:rsid w:val="0000254E"/>
    <w:rsid w:val="00004579"/>
    <w:rsid w:val="000048EE"/>
    <w:rsid w:val="00010546"/>
    <w:rsid w:val="00010812"/>
    <w:rsid w:val="00010B2C"/>
    <w:rsid w:val="0001134F"/>
    <w:rsid w:val="00011AB4"/>
    <w:rsid w:val="00012122"/>
    <w:rsid w:val="00012241"/>
    <w:rsid w:val="000122DA"/>
    <w:rsid w:val="00013F49"/>
    <w:rsid w:val="000209D2"/>
    <w:rsid w:val="00021E35"/>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6AC"/>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77E0E"/>
    <w:rsid w:val="00080D5F"/>
    <w:rsid w:val="00081FA4"/>
    <w:rsid w:val="0008259C"/>
    <w:rsid w:val="00082633"/>
    <w:rsid w:val="00084B10"/>
    <w:rsid w:val="00086AB3"/>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2D24"/>
    <w:rsid w:val="000D36F0"/>
    <w:rsid w:val="000D7F51"/>
    <w:rsid w:val="000E0F7D"/>
    <w:rsid w:val="000E3599"/>
    <w:rsid w:val="000E4015"/>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32B5E"/>
    <w:rsid w:val="00134512"/>
    <w:rsid w:val="00134A93"/>
    <w:rsid w:val="00140AEA"/>
    <w:rsid w:val="00141063"/>
    <w:rsid w:val="00145579"/>
    <w:rsid w:val="00145E37"/>
    <w:rsid w:val="001465A7"/>
    <w:rsid w:val="0014665F"/>
    <w:rsid w:val="00147EAF"/>
    <w:rsid w:val="00151F27"/>
    <w:rsid w:val="0015411E"/>
    <w:rsid w:val="0015463F"/>
    <w:rsid w:val="00154ECF"/>
    <w:rsid w:val="00156BB9"/>
    <w:rsid w:val="00160A3D"/>
    <w:rsid w:val="001618FB"/>
    <w:rsid w:val="00164AA7"/>
    <w:rsid w:val="00164E81"/>
    <w:rsid w:val="00165633"/>
    <w:rsid w:val="00166C34"/>
    <w:rsid w:val="0017017F"/>
    <w:rsid w:val="0017129C"/>
    <w:rsid w:val="00171576"/>
    <w:rsid w:val="001716A3"/>
    <w:rsid w:val="001718B5"/>
    <w:rsid w:val="00173FD2"/>
    <w:rsid w:val="001747DE"/>
    <w:rsid w:val="00175D51"/>
    <w:rsid w:val="0018041E"/>
    <w:rsid w:val="00180ABF"/>
    <w:rsid w:val="00183539"/>
    <w:rsid w:val="00185137"/>
    <w:rsid w:val="00186263"/>
    <w:rsid w:val="001876CF"/>
    <w:rsid w:val="001904D9"/>
    <w:rsid w:val="001907E2"/>
    <w:rsid w:val="0019153F"/>
    <w:rsid w:val="00192AAD"/>
    <w:rsid w:val="001934C8"/>
    <w:rsid w:val="00194613"/>
    <w:rsid w:val="001949E0"/>
    <w:rsid w:val="0019596E"/>
    <w:rsid w:val="00195E48"/>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3E4B"/>
    <w:rsid w:val="001E5AA1"/>
    <w:rsid w:val="001E66D8"/>
    <w:rsid w:val="001E70BB"/>
    <w:rsid w:val="001E726D"/>
    <w:rsid w:val="001F10CC"/>
    <w:rsid w:val="001F4FAA"/>
    <w:rsid w:val="001F5417"/>
    <w:rsid w:val="002030AE"/>
    <w:rsid w:val="002038BF"/>
    <w:rsid w:val="00204BB8"/>
    <w:rsid w:val="00206AD3"/>
    <w:rsid w:val="0021074E"/>
    <w:rsid w:val="002122DA"/>
    <w:rsid w:val="002137C9"/>
    <w:rsid w:val="00215374"/>
    <w:rsid w:val="002159BC"/>
    <w:rsid w:val="002168AB"/>
    <w:rsid w:val="00217A29"/>
    <w:rsid w:val="00217D54"/>
    <w:rsid w:val="002209B2"/>
    <w:rsid w:val="00221413"/>
    <w:rsid w:val="00221FCA"/>
    <w:rsid w:val="00222A63"/>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8BD"/>
    <w:rsid w:val="002569DB"/>
    <w:rsid w:val="00260FC2"/>
    <w:rsid w:val="00261541"/>
    <w:rsid w:val="0026226A"/>
    <w:rsid w:val="00264D61"/>
    <w:rsid w:val="0026612B"/>
    <w:rsid w:val="00266511"/>
    <w:rsid w:val="00266765"/>
    <w:rsid w:val="00270BD6"/>
    <w:rsid w:val="00271245"/>
    <w:rsid w:val="00272B18"/>
    <w:rsid w:val="002730A2"/>
    <w:rsid w:val="00273956"/>
    <w:rsid w:val="002810DD"/>
    <w:rsid w:val="00284E04"/>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3E00"/>
    <w:rsid w:val="002C45F5"/>
    <w:rsid w:val="002C564B"/>
    <w:rsid w:val="002C5846"/>
    <w:rsid w:val="002C7B68"/>
    <w:rsid w:val="002D08A4"/>
    <w:rsid w:val="002D08EC"/>
    <w:rsid w:val="002D14C0"/>
    <w:rsid w:val="002D302D"/>
    <w:rsid w:val="002D3DA9"/>
    <w:rsid w:val="002D41B0"/>
    <w:rsid w:val="002D4B05"/>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1539A"/>
    <w:rsid w:val="00322C12"/>
    <w:rsid w:val="0032711B"/>
    <w:rsid w:val="00332CBB"/>
    <w:rsid w:val="00333221"/>
    <w:rsid w:val="00333574"/>
    <w:rsid w:val="003352EF"/>
    <w:rsid w:val="003356DE"/>
    <w:rsid w:val="0033715D"/>
    <w:rsid w:val="00344660"/>
    <w:rsid w:val="0035073F"/>
    <w:rsid w:val="00350B62"/>
    <w:rsid w:val="00351A44"/>
    <w:rsid w:val="00352531"/>
    <w:rsid w:val="00354485"/>
    <w:rsid w:val="00355B36"/>
    <w:rsid w:val="003572C7"/>
    <w:rsid w:val="00357560"/>
    <w:rsid w:val="00360351"/>
    <w:rsid w:val="00362337"/>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59F"/>
    <w:rsid w:val="003A3F54"/>
    <w:rsid w:val="003A488D"/>
    <w:rsid w:val="003A4DE2"/>
    <w:rsid w:val="003A57D9"/>
    <w:rsid w:val="003A7B25"/>
    <w:rsid w:val="003B0432"/>
    <w:rsid w:val="003B051D"/>
    <w:rsid w:val="003B2025"/>
    <w:rsid w:val="003B23D2"/>
    <w:rsid w:val="003B6A0C"/>
    <w:rsid w:val="003B7476"/>
    <w:rsid w:val="003B7C85"/>
    <w:rsid w:val="003C06EA"/>
    <w:rsid w:val="003C0941"/>
    <w:rsid w:val="003C1EFF"/>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7C"/>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2DB0"/>
    <w:rsid w:val="004632EE"/>
    <w:rsid w:val="00463FC6"/>
    <w:rsid w:val="00464FF3"/>
    <w:rsid w:val="0046689A"/>
    <w:rsid w:val="0046701D"/>
    <w:rsid w:val="00467F2C"/>
    <w:rsid w:val="00470202"/>
    <w:rsid w:val="00472F77"/>
    <w:rsid w:val="004734F1"/>
    <w:rsid w:val="0047445F"/>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96758"/>
    <w:rsid w:val="004A0BF3"/>
    <w:rsid w:val="004A1741"/>
    <w:rsid w:val="004A6557"/>
    <w:rsid w:val="004B0A02"/>
    <w:rsid w:val="004B250F"/>
    <w:rsid w:val="004B28A5"/>
    <w:rsid w:val="004B479D"/>
    <w:rsid w:val="004B48D5"/>
    <w:rsid w:val="004B53EB"/>
    <w:rsid w:val="004B61E8"/>
    <w:rsid w:val="004B7208"/>
    <w:rsid w:val="004C14F8"/>
    <w:rsid w:val="004C1C5B"/>
    <w:rsid w:val="004C2164"/>
    <w:rsid w:val="004C2400"/>
    <w:rsid w:val="004C28E2"/>
    <w:rsid w:val="004C460B"/>
    <w:rsid w:val="004C49EB"/>
    <w:rsid w:val="004C7D4C"/>
    <w:rsid w:val="004D491B"/>
    <w:rsid w:val="004D6A3E"/>
    <w:rsid w:val="004D6BC4"/>
    <w:rsid w:val="004E0614"/>
    <w:rsid w:val="004E1C3C"/>
    <w:rsid w:val="004E274C"/>
    <w:rsid w:val="004E409B"/>
    <w:rsid w:val="004F0DCD"/>
    <w:rsid w:val="004F0DE9"/>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5A4"/>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13E"/>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5861"/>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16B"/>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49"/>
    <w:rsid w:val="006854DB"/>
    <w:rsid w:val="006903C7"/>
    <w:rsid w:val="00692D56"/>
    <w:rsid w:val="00693BF8"/>
    <w:rsid w:val="006A2528"/>
    <w:rsid w:val="006A3A29"/>
    <w:rsid w:val="006A66D6"/>
    <w:rsid w:val="006A6D28"/>
    <w:rsid w:val="006B00E6"/>
    <w:rsid w:val="006B1924"/>
    <w:rsid w:val="006B45D7"/>
    <w:rsid w:val="006B55B0"/>
    <w:rsid w:val="006B5CF6"/>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22E8"/>
    <w:rsid w:val="007458B0"/>
    <w:rsid w:val="0074593E"/>
    <w:rsid w:val="00746B0D"/>
    <w:rsid w:val="007475B1"/>
    <w:rsid w:val="007534CA"/>
    <w:rsid w:val="007660AC"/>
    <w:rsid w:val="00770618"/>
    <w:rsid w:val="007709F6"/>
    <w:rsid w:val="00772895"/>
    <w:rsid w:val="00773247"/>
    <w:rsid w:val="00773671"/>
    <w:rsid w:val="00775648"/>
    <w:rsid w:val="00775C15"/>
    <w:rsid w:val="00777364"/>
    <w:rsid w:val="00780539"/>
    <w:rsid w:val="007819A2"/>
    <w:rsid w:val="00786AD9"/>
    <w:rsid w:val="0079035B"/>
    <w:rsid w:val="00791E21"/>
    <w:rsid w:val="00792A0B"/>
    <w:rsid w:val="00795FD2"/>
    <w:rsid w:val="00796FEA"/>
    <w:rsid w:val="00797473"/>
    <w:rsid w:val="007A1E08"/>
    <w:rsid w:val="007A37A8"/>
    <w:rsid w:val="007A5FD1"/>
    <w:rsid w:val="007A63BA"/>
    <w:rsid w:val="007A6A63"/>
    <w:rsid w:val="007B00EC"/>
    <w:rsid w:val="007B01D4"/>
    <w:rsid w:val="007B38C7"/>
    <w:rsid w:val="007B400E"/>
    <w:rsid w:val="007B4FDB"/>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051F"/>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3F"/>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1735"/>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3CB6"/>
    <w:rsid w:val="009A42E7"/>
    <w:rsid w:val="009A5EFC"/>
    <w:rsid w:val="009A7184"/>
    <w:rsid w:val="009B10D9"/>
    <w:rsid w:val="009B1C6D"/>
    <w:rsid w:val="009B1C8D"/>
    <w:rsid w:val="009B2CE7"/>
    <w:rsid w:val="009B5A47"/>
    <w:rsid w:val="009B72BE"/>
    <w:rsid w:val="009C0ABA"/>
    <w:rsid w:val="009C127B"/>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1E57"/>
    <w:rsid w:val="00A32308"/>
    <w:rsid w:val="00A326A7"/>
    <w:rsid w:val="00A32E1D"/>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296F"/>
    <w:rsid w:val="00A85263"/>
    <w:rsid w:val="00A858D8"/>
    <w:rsid w:val="00A877BC"/>
    <w:rsid w:val="00A879AF"/>
    <w:rsid w:val="00A87D4D"/>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B044C"/>
    <w:rsid w:val="00AB0B13"/>
    <w:rsid w:val="00AB3058"/>
    <w:rsid w:val="00AB38EE"/>
    <w:rsid w:val="00AB4053"/>
    <w:rsid w:val="00AB5BEA"/>
    <w:rsid w:val="00AC09CD"/>
    <w:rsid w:val="00AC1CB7"/>
    <w:rsid w:val="00AC2B43"/>
    <w:rsid w:val="00AC58D3"/>
    <w:rsid w:val="00AC771B"/>
    <w:rsid w:val="00AC7A01"/>
    <w:rsid w:val="00AD065D"/>
    <w:rsid w:val="00AD17C5"/>
    <w:rsid w:val="00AD1E62"/>
    <w:rsid w:val="00AD1F90"/>
    <w:rsid w:val="00AD4CA5"/>
    <w:rsid w:val="00AD4D41"/>
    <w:rsid w:val="00AD5190"/>
    <w:rsid w:val="00AD5CD4"/>
    <w:rsid w:val="00AD7996"/>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446EB"/>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2BD"/>
    <w:rsid w:val="00B664A0"/>
    <w:rsid w:val="00B665D2"/>
    <w:rsid w:val="00B66AB4"/>
    <w:rsid w:val="00B7172D"/>
    <w:rsid w:val="00B75271"/>
    <w:rsid w:val="00B77386"/>
    <w:rsid w:val="00B8201F"/>
    <w:rsid w:val="00B82E64"/>
    <w:rsid w:val="00B845DC"/>
    <w:rsid w:val="00B85040"/>
    <w:rsid w:val="00B860D8"/>
    <w:rsid w:val="00B87A79"/>
    <w:rsid w:val="00B92D1F"/>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193C"/>
    <w:rsid w:val="00BF2036"/>
    <w:rsid w:val="00BF2944"/>
    <w:rsid w:val="00BF2ACC"/>
    <w:rsid w:val="00BF2AD0"/>
    <w:rsid w:val="00BF3393"/>
    <w:rsid w:val="00BF5117"/>
    <w:rsid w:val="00BF5F27"/>
    <w:rsid w:val="00BF78F2"/>
    <w:rsid w:val="00BF7987"/>
    <w:rsid w:val="00C010CC"/>
    <w:rsid w:val="00C029B9"/>
    <w:rsid w:val="00C02FA7"/>
    <w:rsid w:val="00C03800"/>
    <w:rsid w:val="00C03CF6"/>
    <w:rsid w:val="00C05650"/>
    <w:rsid w:val="00C056C8"/>
    <w:rsid w:val="00C0577D"/>
    <w:rsid w:val="00C0629B"/>
    <w:rsid w:val="00C11151"/>
    <w:rsid w:val="00C13C2F"/>
    <w:rsid w:val="00C170D0"/>
    <w:rsid w:val="00C21B77"/>
    <w:rsid w:val="00C23978"/>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3D1C"/>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511"/>
    <w:rsid w:val="00CA366C"/>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357"/>
    <w:rsid w:val="00CD4740"/>
    <w:rsid w:val="00CD53B4"/>
    <w:rsid w:val="00CE05CD"/>
    <w:rsid w:val="00CE3A62"/>
    <w:rsid w:val="00CE5378"/>
    <w:rsid w:val="00CF0DA5"/>
    <w:rsid w:val="00CF38FC"/>
    <w:rsid w:val="00CF3AD8"/>
    <w:rsid w:val="00CF3D81"/>
    <w:rsid w:val="00CF5826"/>
    <w:rsid w:val="00CF5F8D"/>
    <w:rsid w:val="00D03D0E"/>
    <w:rsid w:val="00D03FA8"/>
    <w:rsid w:val="00D048E7"/>
    <w:rsid w:val="00D05EA1"/>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15ED"/>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75D"/>
    <w:rsid w:val="00D80C6C"/>
    <w:rsid w:val="00D82EBF"/>
    <w:rsid w:val="00D837E6"/>
    <w:rsid w:val="00D84D6A"/>
    <w:rsid w:val="00D908EA"/>
    <w:rsid w:val="00D909C5"/>
    <w:rsid w:val="00D90C5F"/>
    <w:rsid w:val="00D92076"/>
    <w:rsid w:val="00D97442"/>
    <w:rsid w:val="00DA2074"/>
    <w:rsid w:val="00DA35C2"/>
    <w:rsid w:val="00DA6DA3"/>
    <w:rsid w:val="00DB2D8E"/>
    <w:rsid w:val="00DB44D1"/>
    <w:rsid w:val="00DB6E09"/>
    <w:rsid w:val="00DC311F"/>
    <w:rsid w:val="00DC3945"/>
    <w:rsid w:val="00DC462D"/>
    <w:rsid w:val="00DC489F"/>
    <w:rsid w:val="00DC510D"/>
    <w:rsid w:val="00DD044C"/>
    <w:rsid w:val="00DD0E1F"/>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4D3D"/>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ED8"/>
    <w:rsid w:val="00E875AD"/>
    <w:rsid w:val="00E87835"/>
    <w:rsid w:val="00E87D81"/>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B34"/>
    <w:rsid w:val="00EC4BE8"/>
    <w:rsid w:val="00EC7D3D"/>
    <w:rsid w:val="00ED388A"/>
    <w:rsid w:val="00ED3F93"/>
    <w:rsid w:val="00ED41DF"/>
    <w:rsid w:val="00ED41EE"/>
    <w:rsid w:val="00ED4540"/>
    <w:rsid w:val="00ED4F0D"/>
    <w:rsid w:val="00ED5BAF"/>
    <w:rsid w:val="00ED623C"/>
    <w:rsid w:val="00ED6404"/>
    <w:rsid w:val="00ED70FE"/>
    <w:rsid w:val="00ED780C"/>
    <w:rsid w:val="00EE02B7"/>
    <w:rsid w:val="00EE4CBA"/>
    <w:rsid w:val="00EE6050"/>
    <w:rsid w:val="00EE68CF"/>
    <w:rsid w:val="00EE71F6"/>
    <w:rsid w:val="00EE7B64"/>
    <w:rsid w:val="00EF4F32"/>
    <w:rsid w:val="00EF64FA"/>
    <w:rsid w:val="00EF67F2"/>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387F"/>
    <w:rsid w:val="00F35DDB"/>
    <w:rsid w:val="00F3742F"/>
    <w:rsid w:val="00F4035A"/>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1CF6"/>
    <w:rsid w:val="00F94EBD"/>
    <w:rsid w:val="00F97287"/>
    <w:rsid w:val="00FA0513"/>
    <w:rsid w:val="00FA09D0"/>
    <w:rsid w:val="00FA0CE4"/>
    <w:rsid w:val="00FA3171"/>
    <w:rsid w:val="00FA349D"/>
    <w:rsid w:val="00FA77DF"/>
    <w:rsid w:val="00FB0E8B"/>
    <w:rsid w:val="00FB241C"/>
    <w:rsid w:val="00FB3F1E"/>
    <w:rsid w:val="00FB58EA"/>
    <w:rsid w:val="00FB763E"/>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422C"/>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8B334"/>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
    <w:name w:val="Unresolved Mention"/>
    <w:basedOn w:val="DefaultParagraphFont"/>
    <w:uiPriority w:val="99"/>
    <w:semiHidden/>
    <w:unhideWhenUsed/>
    <w:rsid w:val="003A3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7709048">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26343003">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69974410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03363734">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news/press-releases/2021/10/hitachi-energy-goes-liv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witter.com/HitachiEnergy"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news/press-releases/2021/07/hitachi-abb-power-grids-is-evolving-to-become-hitachi-energy-and-broadens-commitment-to-a-sustainable-energy-futur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hitachienergy.com/news/press-releases/2020/07/hitachi-abb-power-grids-commences-operations" TargetMode="External"/><Relationship Id="rId20" Type="http://schemas.openxmlformats.org/officeDocument/2006/relationships/hyperlink" Target="https://www.linkedin.com/company/hitachienergy"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hitachi.com/New/cnews/month/2018/12/f_181217.pdf" TargetMode="External"/><Relationship Id="rId23" Type="http://schemas.openxmlformats.org/officeDocument/2006/relationships/hyperlink" Target="mailto:jocelyn.chang@hitachienergy.com" TargetMode="External"/><Relationship Id="rId28" Type="http://schemas.openxmlformats.org/officeDocument/2006/relationships/header" Target="header3.xml"/><Relationship Id="rId10" Type="http://schemas.openxmlformats.org/officeDocument/2006/relationships/styles" Target="styles.xml"/><Relationship Id="rId19" Type="http://schemas.openxmlformats.org/officeDocument/2006/relationships/hyperlink" Target="https://www.hitachienergy.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hitachi.com"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2.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5.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6.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7.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0A1F9-AD14-41D5-962A-560CE7080345}">
  <ds:schemaRefs/>
</ds:datastoreItem>
</file>

<file path=customXml/itemProps2.xml><?xml version="1.0" encoding="utf-8"?>
<ds:datastoreItem xmlns:ds="http://schemas.openxmlformats.org/officeDocument/2006/customXml" ds:itemID="{44641B92-2CFD-4FCA-812C-D12B465420FC}">
  <ds:schemaRefs/>
</ds:datastoreItem>
</file>

<file path=customXml/itemProps3.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4.xml><?xml version="1.0" encoding="utf-8"?>
<ds:datastoreItem xmlns:ds="http://schemas.openxmlformats.org/officeDocument/2006/customXml" ds:itemID="{7E9EA48E-90A0-4F0C-B36A-068A0E912D91}">
  <ds:schemaRefs/>
</ds:datastoreItem>
</file>

<file path=customXml/itemProps5.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6.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7.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7F1BDD68-78D9-4EE0-BED3-7B395A9A5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Nomvelo Buthelezi</cp:lastModifiedBy>
  <cp:revision>2</cp:revision>
  <cp:lastPrinted>2022-08-03T12:53:00Z</cp:lastPrinted>
  <dcterms:created xsi:type="dcterms:W3CDTF">2022-10-03T09:09:00Z</dcterms:created>
  <dcterms:modified xsi:type="dcterms:W3CDTF">2022-10-03T09:09:00Z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