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Pr="009570C3" w:rsidRDefault="009B3585" w:rsidP="00AC0C13">
      <w:pPr>
        <w:spacing w:line="240" w:lineRule="auto"/>
        <w:jc w:val="both"/>
        <w:rPr>
          <w:rFonts w:ascii="Arial" w:hAnsi="Arial" w:cs="Arial"/>
          <w:b/>
          <w:sz w:val="52"/>
          <w:szCs w:val="52"/>
        </w:rPr>
      </w:pPr>
      <w:r w:rsidRPr="009570C3">
        <w:rPr>
          <w:rFonts w:ascii="Arial" w:hAnsi="Arial" w:cs="Arial"/>
          <w:b/>
          <w:sz w:val="52"/>
          <w:szCs w:val="52"/>
        </w:rPr>
        <w:t>P</w:t>
      </w:r>
      <w:r w:rsidR="00F2166F" w:rsidRPr="009570C3">
        <w:rPr>
          <w:rFonts w:ascii="Arial" w:hAnsi="Arial" w:cs="Arial"/>
          <w:b/>
          <w:sz w:val="52"/>
          <w:szCs w:val="52"/>
        </w:rPr>
        <w:t>RESS RELEASE</w:t>
      </w:r>
    </w:p>
    <w:p w14:paraId="537A5987" w14:textId="3FE07757" w:rsidR="006F6A0B" w:rsidRPr="009570C3" w:rsidRDefault="00C9743E" w:rsidP="00B61C44">
      <w:pPr>
        <w:spacing w:line="240" w:lineRule="auto"/>
        <w:rPr>
          <w:rFonts w:ascii="Arial" w:hAnsi="Arial" w:cs="Arial"/>
          <w:sz w:val="28"/>
          <w:szCs w:val="28"/>
        </w:rPr>
      </w:pPr>
      <w:r w:rsidRPr="00C9743E">
        <w:rPr>
          <w:rFonts w:ascii="Arial" w:hAnsi="Arial" w:cs="Arial"/>
          <w:sz w:val="28"/>
          <w:szCs w:val="28"/>
        </w:rPr>
        <w:t>AECOM launches 3</w:t>
      </w:r>
      <w:r>
        <w:rPr>
          <w:rFonts w:ascii="Arial" w:hAnsi="Arial" w:cs="Arial"/>
          <w:sz w:val="28"/>
          <w:szCs w:val="28"/>
        </w:rPr>
        <w:t>2</w:t>
      </w:r>
      <w:r w:rsidRPr="00C9743E">
        <w:rPr>
          <w:rFonts w:ascii="Arial" w:hAnsi="Arial" w:cs="Arial"/>
          <w:sz w:val="28"/>
          <w:szCs w:val="28"/>
          <w:vertAlign w:val="superscript"/>
        </w:rPr>
        <w:t>nd</w:t>
      </w:r>
      <w:r>
        <w:rPr>
          <w:rFonts w:ascii="Arial" w:hAnsi="Arial" w:cs="Arial"/>
          <w:sz w:val="28"/>
          <w:szCs w:val="28"/>
        </w:rPr>
        <w:t xml:space="preserve"> </w:t>
      </w:r>
      <w:r w:rsidRPr="00C9743E">
        <w:rPr>
          <w:rFonts w:ascii="Arial" w:hAnsi="Arial" w:cs="Arial"/>
          <w:sz w:val="28"/>
          <w:szCs w:val="28"/>
        </w:rPr>
        <w:t xml:space="preserve">edition of </w:t>
      </w:r>
      <w:r>
        <w:rPr>
          <w:rFonts w:ascii="Arial" w:hAnsi="Arial" w:cs="Arial"/>
          <w:sz w:val="28"/>
          <w:szCs w:val="28"/>
        </w:rPr>
        <w:t xml:space="preserve">its </w:t>
      </w:r>
      <w:r w:rsidRPr="00C9743E">
        <w:rPr>
          <w:rFonts w:ascii="Arial" w:hAnsi="Arial" w:cs="Arial"/>
          <w:sz w:val="28"/>
          <w:szCs w:val="28"/>
        </w:rPr>
        <w:t xml:space="preserve">Africa Property &amp; Construction Cost Guide </w:t>
      </w:r>
      <w:r w:rsidR="005255C0" w:rsidRPr="005255C0">
        <w:rPr>
          <w:rFonts w:ascii="Arial" w:hAnsi="Arial" w:cs="Arial"/>
          <w:sz w:val="28"/>
          <w:szCs w:val="28"/>
        </w:rPr>
        <w:t>2021</w:t>
      </w:r>
      <w:r>
        <w:rPr>
          <w:rFonts w:ascii="Arial" w:hAnsi="Arial" w:cs="Arial"/>
          <w:sz w:val="28"/>
          <w:szCs w:val="28"/>
        </w:rPr>
        <w:t>/22</w:t>
      </w:r>
      <w:bookmarkStart w:id="0" w:name="_GoBack"/>
      <w:bookmarkEnd w:id="0"/>
    </w:p>
    <w:p w14:paraId="7D23A36E" w14:textId="18C63D09" w:rsidR="00516BBB" w:rsidRDefault="00C9743E" w:rsidP="00F2166F">
      <w:pPr>
        <w:spacing w:line="240" w:lineRule="auto"/>
        <w:rPr>
          <w:rFonts w:asciiTheme="minorHAnsi" w:hAnsiTheme="minorHAnsi" w:cstheme="minorHAnsi"/>
          <w:b/>
        </w:rPr>
      </w:pPr>
      <w:r>
        <w:rPr>
          <w:rFonts w:asciiTheme="minorHAnsi" w:hAnsiTheme="minorHAnsi" w:cstheme="minorHAnsi"/>
          <w:b/>
        </w:rPr>
        <w:t xml:space="preserve">The </w:t>
      </w:r>
      <w:r w:rsidRPr="00C9743E">
        <w:rPr>
          <w:rFonts w:asciiTheme="minorHAnsi" w:hAnsiTheme="minorHAnsi" w:cstheme="minorHAnsi"/>
          <w:b/>
        </w:rPr>
        <w:t>guide forms part of</w:t>
      </w:r>
      <w:r>
        <w:rPr>
          <w:rFonts w:asciiTheme="minorHAnsi" w:hAnsiTheme="minorHAnsi" w:cstheme="minorHAnsi"/>
          <w:b/>
        </w:rPr>
        <w:t xml:space="preserve"> AECOM’s </w:t>
      </w:r>
      <w:r w:rsidRPr="00C9743E">
        <w:rPr>
          <w:rFonts w:asciiTheme="minorHAnsi" w:hAnsiTheme="minorHAnsi" w:cstheme="minorHAnsi"/>
          <w:b/>
        </w:rPr>
        <w:t>commitment to improve project delivery through unique and comprehensive research about the industry</w:t>
      </w:r>
    </w:p>
    <w:p w14:paraId="788A6169" w14:textId="7F883487" w:rsidR="00C9743E" w:rsidRPr="00C9743E" w:rsidRDefault="00CE63DB" w:rsidP="00C9743E">
      <w:pPr>
        <w:spacing w:line="240" w:lineRule="auto"/>
        <w:rPr>
          <w:rFonts w:asciiTheme="minorHAnsi" w:hAnsiTheme="minorHAnsi" w:cstheme="minorHAnsi"/>
        </w:rPr>
      </w:pPr>
      <w:r>
        <w:rPr>
          <w:rFonts w:asciiTheme="minorHAnsi" w:hAnsiTheme="minorHAnsi" w:cstheme="minorHAnsi"/>
          <w:b/>
        </w:rPr>
        <w:t>11 October</w:t>
      </w:r>
      <w:r w:rsidR="00F2166F" w:rsidRPr="00666E39">
        <w:rPr>
          <w:rFonts w:asciiTheme="minorHAnsi" w:hAnsiTheme="minorHAnsi" w:cstheme="minorHAnsi"/>
          <w:b/>
        </w:rPr>
        <w:t xml:space="preserve"> </w:t>
      </w:r>
      <w:r w:rsidR="00BF3B87" w:rsidRPr="00666E39">
        <w:rPr>
          <w:rFonts w:asciiTheme="minorHAnsi" w:hAnsiTheme="minorHAnsi" w:cstheme="minorHAnsi"/>
          <w:b/>
        </w:rPr>
        <w:t>2021</w:t>
      </w:r>
      <w:r w:rsidR="006547AF" w:rsidRPr="00666E39">
        <w:rPr>
          <w:rFonts w:asciiTheme="minorHAnsi" w:hAnsiTheme="minorHAnsi" w:cstheme="minorHAnsi"/>
          <w:b/>
        </w:rPr>
        <w:t>:</w:t>
      </w:r>
      <w:r w:rsidR="00E40DED" w:rsidRPr="00666E39">
        <w:rPr>
          <w:rFonts w:asciiTheme="minorHAnsi" w:hAnsiTheme="minorHAnsi" w:cstheme="minorHAnsi"/>
        </w:rPr>
        <w:t xml:space="preserve"> </w:t>
      </w:r>
      <w:r w:rsidR="00C9743E" w:rsidRPr="00C9743E">
        <w:rPr>
          <w:rFonts w:asciiTheme="minorHAnsi" w:hAnsiTheme="minorHAnsi" w:cstheme="minorHAnsi"/>
        </w:rPr>
        <w:t xml:space="preserve">Integrated infrastructure delivery company </w:t>
      </w:r>
      <w:hyperlink r:id="rId8" w:history="1">
        <w:r w:rsidR="00C9743E" w:rsidRPr="00C9743E">
          <w:rPr>
            <w:rStyle w:val="Hyperlink"/>
            <w:rFonts w:asciiTheme="minorHAnsi" w:hAnsiTheme="minorHAnsi" w:cstheme="minorHAnsi"/>
          </w:rPr>
          <w:t>AECOM</w:t>
        </w:r>
      </w:hyperlink>
      <w:r w:rsidR="00C9743E" w:rsidRPr="00C9743E">
        <w:rPr>
          <w:rFonts w:asciiTheme="minorHAnsi" w:hAnsiTheme="minorHAnsi" w:cstheme="minorHAnsi"/>
        </w:rPr>
        <w:t xml:space="preserve"> has launched its Africa Property &amp; Construction Cost Guide 2021/22. “Celebrating its 32</w:t>
      </w:r>
      <w:r w:rsidR="00C9743E" w:rsidRPr="006A3D58">
        <w:rPr>
          <w:rFonts w:asciiTheme="minorHAnsi" w:hAnsiTheme="minorHAnsi" w:cstheme="minorHAnsi"/>
          <w:vertAlign w:val="superscript"/>
        </w:rPr>
        <w:t>nd</w:t>
      </w:r>
      <w:r w:rsidR="006A3D58">
        <w:rPr>
          <w:rFonts w:asciiTheme="minorHAnsi" w:hAnsiTheme="minorHAnsi" w:cstheme="minorHAnsi"/>
        </w:rPr>
        <w:t xml:space="preserve"> </w:t>
      </w:r>
      <w:r w:rsidR="00C9743E" w:rsidRPr="00C9743E">
        <w:rPr>
          <w:rFonts w:asciiTheme="minorHAnsi" w:hAnsiTheme="minorHAnsi" w:cstheme="minorHAnsi"/>
        </w:rPr>
        <w:t xml:space="preserve">edition, this guide forms part of our commitment to improve project delivery through unique and comprehensive research about the industry,” comments </w:t>
      </w:r>
      <w:r w:rsidR="00C9743E" w:rsidRPr="00C9743E">
        <w:rPr>
          <w:rFonts w:asciiTheme="minorHAnsi" w:hAnsiTheme="minorHAnsi" w:cstheme="minorHAnsi"/>
          <w:b/>
          <w:bCs/>
        </w:rPr>
        <w:t>Dean Narainsamy</w:t>
      </w:r>
      <w:r w:rsidR="00C9743E" w:rsidRPr="00C9743E">
        <w:rPr>
          <w:rFonts w:asciiTheme="minorHAnsi" w:hAnsiTheme="minorHAnsi" w:cstheme="minorHAnsi"/>
        </w:rPr>
        <w:t>, Director, Program</w:t>
      </w:r>
      <w:r w:rsidR="006A3D58">
        <w:rPr>
          <w:rFonts w:asciiTheme="minorHAnsi" w:hAnsiTheme="minorHAnsi" w:cstheme="minorHAnsi"/>
        </w:rPr>
        <w:t>me</w:t>
      </w:r>
      <w:r w:rsidR="00C9743E" w:rsidRPr="00C9743E">
        <w:rPr>
          <w:rFonts w:asciiTheme="minorHAnsi" w:hAnsiTheme="minorHAnsi" w:cstheme="minorHAnsi"/>
        </w:rPr>
        <w:t xml:space="preserve"> Cost Consultancy (PCC), Africa. The guide shares insights about commercial and retail developments and industrial and healthcare facilities, as well as comprehensive local and international building cost rates.</w:t>
      </w:r>
    </w:p>
    <w:p w14:paraId="6FC7EE68" w14:textId="77777777" w:rsidR="00C9743E" w:rsidRPr="00C9743E" w:rsidRDefault="00C9743E" w:rsidP="00C9743E">
      <w:pPr>
        <w:spacing w:line="240" w:lineRule="auto"/>
        <w:rPr>
          <w:rFonts w:asciiTheme="minorHAnsi" w:hAnsiTheme="minorHAnsi" w:cstheme="minorHAnsi"/>
        </w:rPr>
      </w:pPr>
      <w:r w:rsidRPr="00C9743E">
        <w:rPr>
          <w:rFonts w:asciiTheme="minorHAnsi" w:hAnsiTheme="minorHAnsi" w:cstheme="minorHAnsi"/>
        </w:rPr>
        <w:t>The last year-and-a-half has been challenging, both in the workplace and at home. With public and private infrastructure spend subdued, a turnaround is expected post-vaccination rollout. “Unfortunately, this has limited success regionally to date, but we are hopeful that as the vaccine programme starts to safeguard our country, a more positive outlook is on the horizon for the construction industry in FY22,” comments Narainsamy.</w:t>
      </w:r>
    </w:p>
    <w:p w14:paraId="6411EFF5" w14:textId="2CCDC450" w:rsidR="00C9743E" w:rsidRPr="00C9743E" w:rsidRDefault="00C9743E" w:rsidP="00C9743E">
      <w:pPr>
        <w:spacing w:line="240" w:lineRule="auto"/>
        <w:rPr>
          <w:rFonts w:asciiTheme="minorHAnsi" w:hAnsiTheme="minorHAnsi" w:cstheme="minorHAnsi"/>
        </w:rPr>
      </w:pPr>
      <w:r w:rsidRPr="00C9743E">
        <w:rPr>
          <w:rFonts w:asciiTheme="minorHAnsi" w:hAnsiTheme="minorHAnsi" w:cstheme="minorHAnsi"/>
        </w:rPr>
        <w:t>Based on the cost data</w:t>
      </w:r>
      <w:r w:rsidR="006A3D58">
        <w:rPr>
          <w:rFonts w:asciiTheme="minorHAnsi" w:hAnsiTheme="minorHAnsi" w:cstheme="minorHAnsi"/>
        </w:rPr>
        <w:t xml:space="preserve"> included in the guide</w:t>
      </w:r>
      <w:r w:rsidRPr="00C9743E">
        <w:rPr>
          <w:rFonts w:asciiTheme="minorHAnsi" w:hAnsiTheme="minorHAnsi" w:cstheme="minorHAnsi"/>
        </w:rPr>
        <w:t>, Africa continues to steadily grow despite the challenges the pandemic has presented. With larger infrastructure and construction projects gradually coming to market, these will provide opportunities for investment and service providers for 2021 and beyond.</w:t>
      </w:r>
    </w:p>
    <w:p w14:paraId="1F2F84AA" w14:textId="77777777" w:rsidR="00C9743E" w:rsidRPr="00C9743E" w:rsidRDefault="00C9743E" w:rsidP="00C9743E">
      <w:pPr>
        <w:spacing w:line="240" w:lineRule="auto"/>
        <w:rPr>
          <w:rFonts w:asciiTheme="minorHAnsi" w:hAnsiTheme="minorHAnsi" w:cstheme="minorHAnsi"/>
        </w:rPr>
      </w:pPr>
      <w:r w:rsidRPr="00C9743E">
        <w:rPr>
          <w:rFonts w:asciiTheme="minorHAnsi" w:hAnsiTheme="minorHAnsi" w:cstheme="minorHAnsi"/>
        </w:rPr>
        <w:t>“We have identified how certain markets have shifted. Coupled with this, we have worked closely with our clients, looking at their specific needs and tailoring solutions to meet renewed expectations. This has resulted in repeat business that has been crucial to our building backlog and pipeline opportunities,” highlights Narainsamy.</w:t>
      </w:r>
    </w:p>
    <w:p w14:paraId="7D012E7E" w14:textId="77777777" w:rsidR="00C9743E" w:rsidRPr="00C9743E" w:rsidRDefault="00C9743E" w:rsidP="00C9743E">
      <w:pPr>
        <w:spacing w:line="240" w:lineRule="auto"/>
        <w:rPr>
          <w:rFonts w:asciiTheme="minorHAnsi" w:hAnsiTheme="minorHAnsi" w:cstheme="minorHAnsi"/>
        </w:rPr>
      </w:pPr>
      <w:r w:rsidRPr="00C9743E">
        <w:rPr>
          <w:rFonts w:asciiTheme="minorHAnsi" w:hAnsiTheme="minorHAnsi" w:cstheme="minorHAnsi"/>
        </w:rPr>
        <w:t>On the technology front, AECOM continues to develop and enhance its 5D digital capabilities. Most recently, its focus has been communicating the importance of the ‘I’ for ‘Information’ in BIM. “A design is only a BIM design when the data and information behind the 3D graphical representation is as considered and accurate as the image itself. We have found this data to be more important than the graphic representation. We have been collaborating with our various design disciplines to communicate this message, and we are grateful for how our colleagues are responding by making continuous improvements to modelling best practices,” notes Narainsamy.</w:t>
      </w:r>
    </w:p>
    <w:p w14:paraId="31619594" w14:textId="77777777" w:rsidR="00C9743E" w:rsidRPr="00C9743E" w:rsidRDefault="00C9743E" w:rsidP="00C9743E">
      <w:pPr>
        <w:spacing w:line="240" w:lineRule="auto"/>
        <w:rPr>
          <w:rFonts w:asciiTheme="minorHAnsi" w:hAnsiTheme="minorHAnsi" w:cstheme="minorHAnsi"/>
        </w:rPr>
      </w:pPr>
      <w:r w:rsidRPr="00C9743E">
        <w:rPr>
          <w:rFonts w:asciiTheme="minorHAnsi" w:hAnsiTheme="minorHAnsi" w:cstheme="minorHAnsi"/>
        </w:rPr>
        <w:t>This collaboration is enhanced by AECOM’s global reach, as its teams now share knowledge and develop capabilities alongside its colleagues in the US, the UK and the Middle East. “We continue to cascade our digital knowledge gains down to all members of our cost management teams to ensure that all of us can focus on providing a fuller service offering to our clients,” adds Narainsamy.</w:t>
      </w:r>
    </w:p>
    <w:p w14:paraId="07B427B6" w14:textId="77777777" w:rsidR="00C9743E" w:rsidRPr="00C9743E" w:rsidRDefault="00C9743E" w:rsidP="00C9743E">
      <w:pPr>
        <w:spacing w:line="240" w:lineRule="auto"/>
        <w:rPr>
          <w:rFonts w:asciiTheme="minorHAnsi" w:hAnsiTheme="minorHAnsi" w:cstheme="minorHAnsi"/>
        </w:rPr>
      </w:pPr>
      <w:r w:rsidRPr="00C9743E">
        <w:rPr>
          <w:rFonts w:asciiTheme="minorHAnsi" w:hAnsiTheme="minorHAnsi" w:cstheme="minorHAnsi"/>
        </w:rPr>
        <w:t>AECOM has maintained its Level One Broad-Based Black Economic Empowerment (BBBEE) scorecard in terms of the Department of Trade and Industry’s revised codes, which is a reaffirmation of the company’s commitment to contributing to a better South Africa. “Our strategy to address diversity in our business has indeed gained momentum over the last year,” reports Narainsamy.</w:t>
      </w:r>
    </w:p>
    <w:p w14:paraId="25641589" w14:textId="77777777" w:rsidR="00C9743E" w:rsidRPr="00C9743E" w:rsidRDefault="00C9743E" w:rsidP="00C9743E">
      <w:pPr>
        <w:spacing w:line="240" w:lineRule="auto"/>
        <w:rPr>
          <w:rFonts w:asciiTheme="minorHAnsi" w:hAnsiTheme="minorHAnsi" w:cstheme="minorHAnsi"/>
        </w:rPr>
      </w:pPr>
      <w:r w:rsidRPr="00C9743E">
        <w:rPr>
          <w:rFonts w:asciiTheme="minorHAnsi" w:hAnsiTheme="minorHAnsi" w:cstheme="minorHAnsi"/>
        </w:rPr>
        <w:t>Female leadership in particular is making its mark, not only in the business, but influencing the built environment in all disciplines. Workshops with the Africa leadership team covering diversity in leadership, women empowerment, retaining young talent, religious inclusion, disabilities and the LGBTQIA+ community have allowed AECOM to formulate a succinct plan to address these critical differentiators in the workplace.</w:t>
      </w:r>
    </w:p>
    <w:p w14:paraId="166EBFA9" w14:textId="736A2E0E" w:rsidR="00C45B06" w:rsidRDefault="00C9743E" w:rsidP="00C9743E">
      <w:pPr>
        <w:spacing w:line="240" w:lineRule="auto"/>
        <w:rPr>
          <w:rFonts w:asciiTheme="minorHAnsi" w:hAnsiTheme="minorHAnsi" w:cstheme="minorHAnsi"/>
        </w:rPr>
      </w:pPr>
      <w:r w:rsidRPr="00C9743E">
        <w:rPr>
          <w:rFonts w:asciiTheme="minorHAnsi" w:hAnsiTheme="minorHAnsi" w:cstheme="minorHAnsi"/>
        </w:rPr>
        <w:lastRenderedPageBreak/>
        <w:t>“As a company devoted to delivering a better world, we have launched and embarked on our Sustainable Legacies journey that re-emphasises our commitment to environmental, social and governance initiatives. These are exciting times, as these ambitious goals have been set to meet some major future milestones. My team looks forward to engaging with our clients, old and new, to align common goals, understand their needs and partner with them to achieve common sustainability goals. Our strategy is based on offering our clients optimal outcomes for their construction projects. We await the challenges ahead with anticipation,” concludes Narainsamy.</w:t>
      </w:r>
    </w:p>
    <w:p w14:paraId="5DDDAC69" w14:textId="5F13F3B0" w:rsidR="00A4083D" w:rsidRDefault="00A4083D" w:rsidP="00C9743E">
      <w:pPr>
        <w:spacing w:line="240" w:lineRule="auto"/>
        <w:rPr>
          <w:rFonts w:asciiTheme="minorHAnsi" w:hAnsiTheme="minorHAnsi" w:cstheme="minorHAnsi"/>
        </w:rPr>
      </w:pPr>
      <w:r>
        <w:rPr>
          <w:rFonts w:asciiTheme="minorHAnsi" w:hAnsiTheme="minorHAnsi" w:cstheme="minorHAnsi"/>
        </w:rPr>
        <w:t xml:space="preserve">In order to download a copy of the AECOM </w:t>
      </w:r>
      <w:r w:rsidRPr="00A4083D">
        <w:rPr>
          <w:rFonts w:asciiTheme="minorHAnsi" w:hAnsiTheme="minorHAnsi" w:cstheme="minorHAnsi"/>
        </w:rPr>
        <w:t>Africa Property &amp; Construction Cost Guide 2021/22</w:t>
      </w:r>
      <w:r>
        <w:rPr>
          <w:rFonts w:asciiTheme="minorHAnsi" w:hAnsiTheme="minorHAnsi" w:cstheme="minorHAnsi"/>
        </w:rPr>
        <w:t xml:space="preserve">, please visit: </w:t>
      </w:r>
      <w:hyperlink r:id="rId9" w:history="1">
        <w:r w:rsidRPr="00340A76">
          <w:rPr>
            <w:rStyle w:val="Hyperlink"/>
            <w:rFonts w:asciiTheme="minorHAnsi" w:hAnsiTheme="minorHAnsi" w:cstheme="minorHAnsi"/>
          </w:rPr>
          <w:t>https://bit.ly/2YCPVAY</w:t>
        </w:r>
      </w:hyperlink>
      <w:r>
        <w:rPr>
          <w:rFonts w:asciiTheme="minorHAnsi" w:hAnsiTheme="minorHAnsi" w:cstheme="minorHAnsi"/>
        </w:rPr>
        <w:t>.</w:t>
      </w:r>
    </w:p>
    <w:p w14:paraId="4E285824" w14:textId="77777777" w:rsidR="007A38C2" w:rsidRPr="00666E39" w:rsidRDefault="007A38C2" w:rsidP="00AD0D67">
      <w:pPr>
        <w:spacing w:line="240" w:lineRule="auto"/>
        <w:rPr>
          <w:rFonts w:asciiTheme="minorHAnsi" w:hAnsiTheme="minorHAnsi" w:cstheme="minorHAnsi"/>
        </w:rPr>
      </w:pPr>
      <w:r w:rsidRPr="00666E39">
        <w:rPr>
          <w:rFonts w:asciiTheme="minorHAnsi" w:eastAsia="Calibri" w:hAnsiTheme="minorHAnsi" w:cstheme="minorHAnsi"/>
          <w:b/>
          <w:i/>
          <w:lang w:eastAsia="en-US"/>
        </w:rPr>
        <w:t>Ends</w:t>
      </w:r>
    </w:p>
    <w:p w14:paraId="7CCA3138" w14:textId="77777777" w:rsidR="007A38C2" w:rsidRPr="00666E39" w:rsidRDefault="007A38C2" w:rsidP="007A38C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lang w:eastAsia="en-US"/>
        </w:rPr>
        <w:t>Notes to the editor</w:t>
      </w:r>
    </w:p>
    <w:p w14:paraId="73CF30DE" w14:textId="77777777" w:rsidR="00D32892" w:rsidRPr="00666E39" w:rsidRDefault="007A38C2" w:rsidP="00D32892">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 xml:space="preserve">To download hi-res images for this release, please visit </w:t>
      </w:r>
      <w:hyperlink r:id="rId10" w:history="1">
        <w:r w:rsidRPr="00666E39">
          <w:rPr>
            <w:rFonts w:asciiTheme="minorHAnsi" w:eastAsia="Calibri" w:hAnsiTheme="minorHAnsi" w:cstheme="minorHAnsi"/>
            <w:color w:val="0563C1"/>
            <w:u w:val="single"/>
            <w:lang w:eastAsia="en-US"/>
          </w:rPr>
          <w:t>http://media.ngage.co.za</w:t>
        </w:r>
      </w:hyperlink>
      <w:r w:rsidRPr="00666E39">
        <w:rPr>
          <w:rFonts w:asciiTheme="minorHAnsi" w:eastAsia="Calibri" w:hAnsiTheme="minorHAnsi" w:cstheme="minorHAnsi"/>
          <w:lang w:eastAsia="en-US"/>
        </w:rPr>
        <w:t xml:space="preserve"> and click on the AECOM link to view the company’s press office.</w:t>
      </w:r>
    </w:p>
    <w:p w14:paraId="6E92BAD8" w14:textId="5C9E3A49" w:rsidR="00E66022" w:rsidRPr="00666E39" w:rsidRDefault="00E66022" w:rsidP="00E6602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bCs/>
          <w:lang w:val="en-US" w:eastAsia="en-US"/>
        </w:rPr>
        <w:t>About AECOM</w:t>
      </w:r>
    </w:p>
    <w:p w14:paraId="0E16D699" w14:textId="4DED375F" w:rsidR="00E66022" w:rsidRPr="00666E39" w:rsidRDefault="009570C3" w:rsidP="00E66022">
      <w:pPr>
        <w:spacing w:line="240" w:lineRule="auto"/>
        <w:rPr>
          <w:rFonts w:asciiTheme="minorHAnsi" w:eastAsia="Calibri" w:hAnsiTheme="minorHAnsi" w:cstheme="minorHAnsi"/>
          <w:lang w:val="en-US" w:eastAsia="en-US"/>
        </w:rPr>
      </w:pPr>
      <w:r w:rsidRPr="009570C3">
        <w:rPr>
          <w:rFonts w:asciiTheme="minorHAnsi" w:eastAsia="Calibri" w:hAnsiTheme="minorHAnsi" w:cstheme="minorHAnsi"/>
          <w:color w:val="000000"/>
          <w:lang w:val="en-US" w:eastAsia="en-US"/>
        </w:rPr>
        <w:t>AECOM is the world’s trusted infrastructure consulting firm, delivering professional services throughout the project lifecycle – from planning, design and engineering to programme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w:t>
      </w:r>
      <w:r>
        <w:rPr>
          <w:rFonts w:asciiTheme="minorHAnsi" w:eastAsia="Calibri" w:hAnsiTheme="minorHAnsi" w:cstheme="minorHAnsi"/>
          <w:color w:val="000000"/>
          <w:lang w:val="en-US" w:eastAsia="en-US"/>
        </w:rPr>
        <w:t xml:space="preserve"> </w:t>
      </w:r>
      <w:r w:rsidRPr="009570C3">
        <w:rPr>
          <w:rFonts w:asciiTheme="minorHAnsi" w:eastAsia="Calibri" w:hAnsiTheme="minorHAnsi" w:cstheme="minorHAnsi"/>
          <w:color w:val="000000"/>
          <w:lang w:val="en-US" w:eastAsia="en-US"/>
        </w:rPr>
        <w:t>and @AECOM</w:t>
      </w:r>
      <w:r w:rsidR="00E66022" w:rsidRPr="00666E39">
        <w:rPr>
          <w:rFonts w:asciiTheme="minorHAnsi" w:eastAsia="Calibri" w:hAnsiTheme="minorHAnsi" w:cstheme="minorHAnsi"/>
          <w:lang w:val="en-US" w:eastAsia="en-US"/>
        </w:rPr>
        <w:t>.</w:t>
      </w:r>
    </w:p>
    <w:p w14:paraId="2A3A6A9A" w14:textId="246323AE" w:rsidR="00AF6062" w:rsidRPr="00666E39" w:rsidRDefault="00AF6062" w:rsidP="00AF6062">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76EA0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6EFC4D2A"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6029452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2A4E1360" w14:textId="29E5F926"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104A248B" w14:textId="6F981320"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76BE763" w14:textId="094CDCB9" w:rsidR="00AF6062" w:rsidRDefault="00AF6062" w:rsidP="00AF6062">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1"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55130438" w14:textId="13069B81" w:rsidR="009570C3" w:rsidRDefault="006074C2" w:rsidP="009570C3">
      <w:pPr>
        <w:spacing w:after="0" w:line="240" w:lineRule="auto"/>
        <w:rPr>
          <w:rFonts w:asciiTheme="minorHAnsi" w:eastAsia="Calibri" w:hAnsiTheme="minorHAnsi" w:cstheme="minorHAnsi"/>
          <w:lang w:eastAsia="en-US"/>
        </w:rPr>
      </w:pPr>
      <w:r w:rsidRPr="00666E39">
        <w:rPr>
          <w:rFonts w:asciiTheme="minorHAnsi" w:eastAsia="Calibri" w:hAnsiTheme="minorHAnsi" w:cstheme="minorHAnsi"/>
          <w:b/>
          <w:lang w:eastAsia="en-US"/>
        </w:rPr>
        <w:t>Media Contact</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Emma Anderson</w:t>
      </w:r>
      <w:r w:rsidRPr="00666E39">
        <w:rPr>
          <w:rFonts w:asciiTheme="minorHAnsi" w:eastAsia="Calibri" w:hAnsiTheme="minorHAnsi" w:cstheme="minorHAnsi"/>
          <w:b/>
          <w:lang w:eastAsia="en-US"/>
        </w:rPr>
        <w:br/>
      </w:r>
      <w:r w:rsidR="009570C3">
        <w:rPr>
          <w:rFonts w:asciiTheme="minorHAnsi" w:eastAsia="Calibri" w:hAnsiTheme="minorHAnsi" w:cstheme="minorHAnsi"/>
          <w:lang w:eastAsia="en-US"/>
        </w:rPr>
        <w:t>Account Executive</w:t>
      </w:r>
    </w:p>
    <w:p w14:paraId="64BC51DD" w14:textId="20721EC4" w:rsidR="006074C2" w:rsidRDefault="006074C2" w:rsidP="00AF6062">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 xml:space="preserve">NGAGE Public Relations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Phone: (011) 867-7763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Fax: 086 512 3352</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Cell: 078 028 3553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 xml:space="preserve">Email: </w:t>
      </w:r>
      <w:hyperlink r:id="rId12" w:history="1">
        <w:r w:rsidRPr="00666E39">
          <w:rPr>
            <w:rStyle w:val="Hyperlink"/>
            <w:rFonts w:asciiTheme="minorHAnsi" w:eastAsia="Calibri" w:hAnsiTheme="minorHAnsi" w:cstheme="minorHAnsi"/>
            <w:lang w:eastAsia="en-US"/>
          </w:rPr>
          <w:t>emma@ngage.co.za</w:t>
        </w:r>
      </w:hyperlink>
      <w:r w:rsidRPr="00666E39">
        <w:rPr>
          <w:rFonts w:asciiTheme="minorHAnsi" w:eastAsia="Calibri" w:hAnsiTheme="minorHAnsi" w:cstheme="minorHAnsi"/>
          <w:lang w:eastAsia="en-US"/>
        </w:rPr>
        <w:t xml:space="preserve">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Web:</w:t>
      </w:r>
      <w:r w:rsidRPr="006074C2">
        <w:rPr>
          <w:lang w:eastAsia="en-US"/>
        </w:rPr>
        <w:t xml:space="preserve"> </w:t>
      </w:r>
      <w:hyperlink r:id="rId13" w:history="1">
        <w:r w:rsidRPr="003B0869">
          <w:rPr>
            <w:rStyle w:val="Hyperlink"/>
            <w:rFonts w:asciiTheme="minorHAnsi" w:eastAsia="Calibri" w:hAnsiTheme="minorHAnsi" w:cstheme="minorHAnsi"/>
            <w:lang w:eastAsia="en-US"/>
          </w:rPr>
          <w:t>www.ngage.co.za</w:t>
        </w:r>
      </w:hyperlink>
    </w:p>
    <w:p w14:paraId="4E130243" w14:textId="40CC73CC" w:rsidR="006074C2" w:rsidRDefault="006074C2" w:rsidP="00EA51B0">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Browse the</w:t>
      </w:r>
      <w:r w:rsidRPr="00666E39">
        <w:rPr>
          <w:rFonts w:asciiTheme="minorHAnsi" w:eastAsia="Calibri" w:hAnsiTheme="minorHAnsi" w:cstheme="minorHAnsi"/>
          <w:b/>
          <w:lang w:eastAsia="en-US"/>
        </w:rPr>
        <w:t xml:space="preserve"> NGAGE Media Zone</w:t>
      </w:r>
      <w:r w:rsidRPr="00666E39">
        <w:rPr>
          <w:rFonts w:asciiTheme="minorHAnsi" w:eastAsia="Calibri" w:hAnsiTheme="minorHAnsi" w:cstheme="minorHAnsi"/>
          <w:lang w:eastAsia="en-US"/>
        </w:rPr>
        <w:t xml:space="preserve"> for more client press releases and photographs at </w:t>
      </w:r>
      <w:hyperlink r:id="rId14" w:history="1">
        <w:r w:rsidRPr="00666E39">
          <w:rPr>
            <w:rFonts w:asciiTheme="minorHAnsi" w:eastAsia="Calibri" w:hAnsiTheme="minorHAnsi" w:cstheme="minorHAnsi"/>
            <w:color w:val="0563C1"/>
            <w:u w:val="single"/>
            <w:lang w:eastAsia="en-US"/>
          </w:rPr>
          <w:t>http://media.ngage.co.za</w:t>
        </w:r>
      </w:hyperlink>
    </w:p>
    <w:sectPr w:rsidR="00607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0E819" w14:textId="77777777" w:rsidR="002F2AEC" w:rsidRDefault="002F2AEC" w:rsidP="00017BED">
      <w:pPr>
        <w:spacing w:after="0" w:line="240" w:lineRule="auto"/>
      </w:pPr>
      <w:r>
        <w:separator/>
      </w:r>
    </w:p>
  </w:endnote>
  <w:endnote w:type="continuationSeparator" w:id="0">
    <w:p w14:paraId="3B88756E" w14:textId="77777777" w:rsidR="002F2AEC" w:rsidRDefault="002F2AEC"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6DBC" w14:textId="77777777" w:rsidR="002F2AEC" w:rsidRDefault="002F2AEC" w:rsidP="00017BED">
      <w:pPr>
        <w:spacing w:after="0" w:line="240" w:lineRule="auto"/>
      </w:pPr>
      <w:r>
        <w:separator/>
      </w:r>
    </w:p>
  </w:footnote>
  <w:footnote w:type="continuationSeparator" w:id="0">
    <w:p w14:paraId="0EDBDABF" w14:textId="77777777" w:rsidR="002F2AEC" w:rsidRDefault="002F2AEC"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A7"/>
    <w:rsid w:val="000218BE"/>
    <w:rsid w:val="000306B9"/>
    <w:rsid w:val="0003125D"/>
    <w:rsid w:val="000323A9"/>
    <w:rsid w:val="00033723"/>
    <w:rsid w:val="000369A7"/>
    <w:rsid w:val="000374E0"/>
    <w:rsid w:val="00037E0F"/>
    <w:rsid w:val="00037F70"/>
    <w:rsid w:val="000404AD"/>
    <w:rsid w:val="00041A0A"/>
    <w:rsid w:val="00050DFE"/>
    <w:rsid w:val="00051F5A"/>
    <w:rsid w:val="0005647E"/>
    <w:rsid w:val="0006035F"/>
    <w:rsid w:val="00062451"/>
    <w:rsid w:val="000719CD"/>
    <w:rsid w:val="000731C9"/>
    <w:rsid w:val="00074FEB"/>
    <w:rsid w:val="00081411"/>
    <w:rsid w:val="0008314B"/>
    <w:rsid w:val="00083707"/>
    <w:rsid w:val="0008447C"/>
    <w:rsid w:val="00085EA7"/>
    <w:rsid w:val="00090C83"/>
    <w:rsid w:val="00091939"/>
    <w:rsid w:val="0009537B"/>
    <w:rsid w:val="000A0108"/>
    <w:rsid w:val="000A0BF5"/>
    <w:rsid w:val="000A1DCB"/>
    <w:rsid w:val="000A2704"/>
    <w:rsid w:val="000A7761"/>
    <w:rsid w:val="000B40DF"/>
    <w:rsid w:val="000B5CEB"/>
    <w:rsid w:val="000C0C4E"/>
    <w:rsid w:val="000D1F9F"/>
    <w:rsid w:val="000D2E77"/>
    <w:rsid w:val="000D44CA"/>
    <w:rsid w:val="000D7047"/>
    <w:rsid w:val="000E586F"/>
    <w:rsid w:val="000F2F60"/>
    <w:rsid w:val="00100138"/>
    <w:rsid w:val="00101A7C"/>
    <w:rsid w:val="00103045"/>
    <w:rsid w:val="0010527C"/>
    <w:rsid w:val="0010607A"/>
    <w:rsid w:val="00107196"/>
    <w:rsid w:val="001161E0"/>
    <w:rsid w:val="00117F3C"/>
    <w:rsid w:val="001218FD"/>
    <w:rsid w:val="0012456F"/>
    <w:rsid w:val="001345D4"/>
    <w:rsid w:val="00134F4E"/>
    <w:rsid w:val="001376E0"/>
    <w:rsid w:val="001427E4"/>
    <w:rsid w:val="00142C57"/>
    <w:rsid w:val="00145F3B"/>
    <w:rsid w:val="0014669C"/>
    <w:rsid w:val="00146F3B"/>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86CAB"/>
    <w:rsid w:val="00191BC7"/>
    <w:rsid w:val="00192AF1"/>
    <w:rsid w:val="001945E3"/>
    <w:rsid w:val="0019620B"/>
    <w:rsid w:val="00196258"/>
    <w:rsid w:val="001A3F6A"/>
    <w:rsid w:val="001A49EF"/>
    <w:rsid w:val="001B2215"/>
    <w:rsid w:val="001B23DD"/>
    <w:rsid w:val="001B364E"/>
    <w:rsid w:val="001B563B"/>
    <w:rsid w:val="001C51B3"/>
    <w:rsid w:val="001D137A"/>
    <w:rsid w:val="001E416B"/>
    <w:rsid w:val="001F5E7B"/>
    <w:rsid w:val="001F6EFD"/>
    <w:rsid w:val="001F751C"/>
    <w:rsid w:val="00200EF9"/>
    <w:rsid w:val="002013E0"/>
    <w:rsid w:val="002016F1"/>
    <w:rsid w:val="0020231F"/>
    <w:rsid w:val="0020505E"/>
    <w:rsid w:val="0020577A"/>
    <w:rsid w:val="00210400"/>
    <w:rsid w:val="002155E1"/>
    <w:rsid w:val="002165C4"/>
    <w:rsid w:val="002169AB"/>
    <w:rsid w:val="00216C8E"/>
    <w:rsid w:val="00216F20"/>
    <w:rsid w:val="00217B5D"/>
    <w:rsid w:val="00220F3D"/>
    <w:rsid w:val="00223884"/>
    <w:rsid w:val="002242FE"/>
    <w:rsid w:val="002259F9"/>
    <w:rsid w:val="00227B77"/>
    <w:rsid w:val="00234CA1"/>
    <w:rsid w:val="00236513"/>
    <w:rsid w:val="00245417"/>
    <w:rsid w:val="00251D6A"/>
    <w:rsid w:val="002526FF"/>
    <w:rsid w:val="00253D79"/>
    <w:rsid w:val="0025554F"/>
    <w:rsid w:val="002614AE"/>
    <w:rsid w:val="002615F7"/>
    <w:rsid w:val="00262BFC"/>
    <w:rsid w:val="002644F6"/>
    <w:rsid w:val="00267A1B"/>
    <w:rsid w:val="00270C3A"/>
    <w:rsid w:val="00271038"/>
    <w:rsid w:val="00271635"/>
    <w:rsid w:val="0027661F"/>
    <w:rsid w:val="00281DA4"/>
    <w:rsid w:val="00284CD8"/>
    <w:rsid w:val="002869E8"/>
    <w:rsid w:val="00292380"/>
    <w:rsid w:val="00292386"/>
    <w:rsid w:val="002925A3"/>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2AEC"/>
    <w:rsid w:val="002F503B"/>
    <w:rsid w:val="00311B37"/>
    <w:rsid w:val="00311CAE"/>
    <w:rsid w:val="00311D4E"/>
    <w:rsid w:val="00316322"/>
    <w:rsid w:val="00316B1E"/>
    <w:rsid w:val="0031720C"/>
    <w:rsid w:val="00320AE6"/>
    <w:rsid w:val="003227B1"/>
    <w:rsid w:val="003233A3"/>
    <w:rsid w:val="0032795C"/>
    <w:rsid w:val="00331381"/>
    <w:rsid w:val="00331F4B"/>
    <w:rsid w:val="00332ADD"/>
    <w:rsid w:val="00332B63"/>
    <w:rsid w:val="00333079"/>
    <w:rsid w:val="00333615"/>
    <w:rsid w:val="003359CD"/>
    <w:rsid w:val="00336F5C"/>
    <w:rsid w:val="003376B0"/>
    <w:rsid w:val="003436B4"/>
    <w:rsid w:val="003448C2"/>
    <w:rsid w:val="003448C3"/>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49CD"/>
    <w:rsid w:val="003B5994"/>
    <w:rsid w:val="003B7629"/>
    <w:rsid w:val="003C465D"/>
    <w:rsid w:val="003D2E66"/>
    <w:rsid w:val="003D6BB5"/>
    <w:rsid w:val="003D7505"/>
    <w:rsid w:val="003E1ED1"/>
    <w:rsid w:val="003E566C"/>
    <w:rsid w:val="003E6F69"/>
    <w:rsid w:val="003E72C0"/>
    <w:rsid w:val="003F4D39"/>
    <w:rsid w:val="004010D6"/>
    <w:rsid w:val="0041472B"/>
    <w:rsid w:val="00421994"/>
    <w:rsid w:val="004222F2"/>
    <w:rsid w:val="00434BD3"/>
    <w:rsid w:val="0044328D"/>
    <w:rsid w:val="00443582"/>
    <w:rsid w:val="00453128"/>
    <w:rsid w:val="00456A15"/>
    <w:rsid w:val="0046526D"/>
    <w:rsid w:val="004715B7"/>
    <w:rsid w:val="004760D8"/>
    <w:rsid w:val="00476710"/>
    <w:rsid w:val="004773B3"/>
    <w:rsid w:val="00480FA7"/>
    <w:rsid w:val="0048314D"/>
    <w:rsid w:val="00486A2F"/>
    <w:rsid w:val="00487784"/>
    <w:rsid w:val="0048798B"/>
    <w:rsid w:val="004910D7"/>
    <w:rsid w:val="004913A4"/>
    <w:rsid w:val="00492E09"/>
    <w:rsid w:val="0049442D"/>
    <w:rsid w:val="00496120"/>
    <w:rsid w:val="004A1512"/>
    <w:rsid w:val="004A5186"/>
    <w:rsid w:val="004A686B"/>
    <w:rsid w:val="004B39AF"/>
    <w:rsid w:val="004B3FBE"/>
    <w:rsid w:val="004B6799"/>
    <w:rsid w:val="004B7004"/>
    <w:rsid w:val="004C27D2"/>
    <w:rsid w:val="004C4E3B"/>
    <w:rsid w:val="004C5F57"/>
    <w:rsid w:val="004D0EC5"/>
    <w:rsid w:val="004D13DA"/>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5C07"/>
    <w:rsid w:val="00506A4B"/>
    <w:rsid w:val="00513C90"/>
    <w:rsid w:val="00516BBB"/>
    <w:rsid w:val="00517297"/>
    <w:rsid w:val="005255C0"/>
    <w:rsid w:val="00526A2B"/>
    <w:rsid w:val="00532051"/>
    <w:rsid w:val="00532B93"/>
    <w:rsid w:val="0053412F"/>
    <w:rsid w:val="00535333"/>
    <w:rsid w:val="00537284"/>
    <w:rsid w:val="00545666"/>
    <w:rsid w:val="00553D85"/>
    <w:rsid w:val="0055789E"/>
    <w:rsid w:val="00561591"/>
    <w:rsid w:val="005701F6"/>
    <w:rsid w:val="00571521"/>
    <w:rsid w:val="00576D95"/>
    <w:rsid w:val="005836FC"/>
    <w:rsid w:val="00585906"/>
    <w:rsid w:val="00590836"/>
    <w:rsid w:val="00592DAB"/>
    <w:rsid w:val="005936BA"/>
    <w:rsid w:val="0059561E"/>
    <w:rsid w:val="005967C5"/>
    <w:rsid w:val="005A2936"/>
    <w:rsid w:val="005A3438"/>
    <w:rsid w:val="005A7FDB"/>
    <w:rsid w:val="005B2B3C"/>
    <w:rsid w:val="005C31D1"/>
    <w:rsid w:val="005C41C2"/>
    <w:rsid w:val="005C6A68"/>
    <w:rsid w:val="005C6E9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468"/>
    <w:rsid w:val="00621723"/>
    <w:rsid w:val="0062370B"/>
    <w:rsid w:val="00630CE2"/>
    <w:rsid w:val="006315D7"/>
    <w:rsid w:val="00633E08"/>
    <w:rsid w:val="006344F2"/>
    <w:rsid w:val="006360EF"/>
    <w:rsid w:val="006363AF"/>
    <w:rsid w:val="00641562"/>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587F"/>
    <w:rsid w:val="00692538"/>
    <w:rsid w:val="00693F19"/>
    <w:rsid w:val="00694C0C"/>
    <w:rsid w:val="006A0BBF"/>
    <w:rsid w:val="006A1046"/>
    <w:rsid w:val="006A114E"/>
    <w:rsid w:val="006A178C"/>
    <w:rsid w:val="006A368D"/>
    <w:rsid w:val="006A3D58"/>
    <w:rsid w:val="006B16F6"/>
    <w:rsid w:val="006B2441"/>
    <w:rsid w:val="006B3898"/>
    <w:rsid w:val="006B42D8"/>
    <w:rsid w:val="006B493B"/>
    <w:rsid w:val="006B4A58"/>
    <w:rsid w:val="006B5070"/>
    <w:rsid w:val="006B75E9"/>
    <w:rsid w:val="006C40D9"/>
    <w:rsid w:val="006C6C2A"/>
    <w:rsid w:val="006C6E59"/>
    <w:rsid w:val="006C7A5F"/>
    <w:rsid w:val="006D4CD0"/>
    <w:rsid w:val="006E4CC7"/>
    <w:rsid w:val="006E7015"/>
    <w:rsid w:val="006F06D7"/>
    <w:rsid w:val="006F2A20"/>
    <w:rsid w:val="006F6495"/>
    <w:rsid w:val="006F6A0B"/>
    <w:rsid w:val="006F79F3"/>
    <w:rsid w:val="006F7B75"/>
    <w:rsid w:val="0070267A"/>
    <w:rsid w:val="00702F6D"/>
    <w:rsid w:val="00707B13"/>
    <w:rsid w:val="00707F4E"/>
    <w:rsid w:val="0071659B"/>
    <w:rsid w:val="00720D04"/>
    <w:rsid w:val="0072538F"/>
    <w:rsid w:val="00725767"/>
    <w:rsid w:val="0073057F"/>
    <w:rsid w:val="00731F6C"/>
    <w:rsid w:val="007410CD"/>
    <w:rsid w:val="00742A92"/>
    <w:rsid w:val="00744B08"/>
    <w:rsid w:val="00754F3B"/>
    <w:rsid w:val="00755119"/>
    <w:rsid w:val="007601C9"/>
    <w:rsid w:val="00762228"/>
    <w:rsid w:val="00762C09"/>
    <w:rsid w:val="00763D9C"/>
    <w:rsid w:val="00765902"/>
    <w:rsid w:val="00770FE1"/>
    <w:rsid w:val="00772432"/>
    <w:rsid w:val="007761FD"/>
    <w:rsid w:val="00785F41"/>
    <w:rsid w:val="007905D7"/>
    <w:rsid w:val="00790AC9"/>
    <w:rsid w:val="00793744"/>
    <w:rsid w:val="00795648"/>
    <w:rsid w:val="00796697"/>
    <w:rsid w:val="00797BCD"/>
    <w:rsid w:val="007A0C9C"/>
    <w:rsid w:val="007A1A67"/>
    <w:rsid w:val="007A3800"/>
    <w:rsid w:val="007A38C2"/>
    <w:rsid w:val="007A41D3"/>
    <w:rsid w:val="007B1C67"/>
    <w:rsid w:val="007B4BC7"/>
    <w:rsid w:val="007B7D05"/>
    <w:rsid w:val="007C1011"/>
    <w:rsid w:val="007C780A"/>
    <w:rsid w:val="007C7EE6"/>
    <w:rsid w:val="007D7423"/>
    <w:rsid w:val="007E69D2"/>
    <w:rsid w:val="007F1FF4"/>
    <w:rsid w:val="007F784A"/>
    <w:rsid w:val="0080035E"/>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20"/>
    <w:rsid w:val="008A486F"/>
    <w:rsid w:val="008A7BD0"/>
    <w:rsid w:val="008B2CB4"/>
    <w:rsid w:val="008B5769"/>
    <w:rsid w:val="008C2AEB"/>
    <w:rsid w:val="008D4AB4"/>
    <w:rsid w:val="008D5772"/>
    <w:rsid w:val="008D5D05"/>
    <w:rsid w:val="008E0A40"/>
    <w:rsid w:val="008E1A3B"/>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6AC5"/>
    <w:rsid w:val="0093065E"/>
    <w:rsid w:val="00934508"/>
    <w:rsid w:val="00940792"/>
    <w:rsid w:val="009417C5"/>
    <w:rsid w:val="00941948"/>
    <w:rsid w:val="00944116"/>
    <w:rsid w:val="00944340"/>
    <w:rsid w:val="009453D0"/>
    <w:rsid w:val="00947CCB"/>
    <w:rsid w:val="00954D1C"/>
    <w:rsid w:val="00955C80"/>
    <w:rsid w:val="009566F7"/>
    <w:rsid w:val="009570C3"/>
    <w:rsid w:val="00957A5F"/>
    <w:rsid w:val="00957CCC"/>
    <w:rsid w:val="009639B6"/>
    <w:rsid w:val="00967E4D"/>
    <w:rsid w:val="00974FC6"/>
    <w:rsid w:val="009778D1"/>
    <w:rsid w:val="00990CA2"/>
    <w:rsid w:val="00994D53"/>
    <w:rsid w:val="009957C1"/>
    <w:rsid w:val="0099796A"/>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5A15"/>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6A90"/>
    <w:rsid w:val="00A27A7B"/>
    <w:rsid w:val="00A3110E"/>
    <w:rsid w:val="00A3301E"/>
    <w:rsid w:val="00A33351"/>
    <w:rsid w:val="00A34F66"/>
    <w:rsid w:val="00A35450"/>
    <w:rsid w:val="00A4083D"/>
    <w:rsid w:val="00A40D98"/>
    <w:rsid w:val="00A41A6A"/>
    <w:rsid w:val="00A427FA"/>
    <w:rsid w:val="00A4578F"/>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3CBD"/>
    <w:rsid w:val="00AB4479"/>
    <w:rsid w:val="00AB5C92"/>
    <w:rsid w:val="00AC06CB"/>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20701"/>
    <w:rsid w:val="00B27BCF"/>
    <w:rsid w:val="00B30133"/>
    <w:rsid w:val="00B31DE2"/>
    <w:rsid w:val="00B34B34"/>
    <w:rsid w:val="00B354A6"/>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4811"/>
    <w:rsid w:val="00BA7378"/>
    <w:rsid w:val="00BB3AB8"/>
    <w:rsid w:val="00BB6596"/>
    <w:rsid w:val="00BB6E62"/>
    <w:rsid w:val="00BC1BE6"/>
    <w:rsid w:val="00BC7865"/>
    <w:rsid w:val="00BC7F9E"/>
    <w:rsid w:val="00BD22E6"/>
    <w:rsid w:val="00BD5AAB"/>
    <w:rsid w:val="00BE050E"/>
    <w:rsid w:val="00BE16CF"/>
    <w:rsid w:val="00BE7F3E"/>
    <w:rsid w:val="00BF3B87"/>
    <w:rsid w:val="00BF4429"/>
    <w:rsid w:val="00BF595D"/>
    <w:rsid w:val="00C0386A"/>
    <w:rsid w:val="00C038A2"/>
    <w:rsid w:val="00C04301"/>
    <w:rsid w:val="00C114B6"/>
    <w:rsid w:val="00C14065"/>
    <w:rsid w:val="00C1490C"/>
    <w:rsid w:val="00C24977"/>
    <w:rsid w:val="00C25517"/>
    <w:rsid w:val="00C3282B"/>
    <w:rsid w:val="00C3363B"/>
    <w:rsid w:val="00C36A84"/>
    <w:rsid w:val="00C42432"/>
    <w:rsid w:val="00C45B06"/>
    <w:rsid w:val="00C517EE"/>
    <w:rsid w:val="00C52620"/>
    <w:rsid w:val="00C5458B"/>
    <w:rsid w:val="00C55439"/>
    <w:rsid w:val="00C55D40"/>
    <w:rsid w:val="00C57B6F"/>
    <w:rsid w:val="00C635EF"/>
    <w:rsid w:val="00C64EF9"/>
    <w:rsid w:val="00C6551A"/>
    <w:rsid w:val="00C65DAD"/>
    <w:rsid w:val="00C70BA8"/>
    <w:rsid w:val="00C70D7D"/>
    <w:rsid w:val="00C7243A"/>
    <w:rsid w:val="00C76E39"/>
    <w:rsid w:val="00C817FD"/>
    <w:rsid w:val="00C82911"/>
    <w:rsid w:val="00C8510B"/>
    <w:rsid w:val="00C90860"/>
    <w:rsid w:val="00C916D1"/>
    <w:rsid w:val="00C9260B"/>
    <w:rsid w:val="00C9418B"/>
    <w:rsid w:val="00C943AD"/>
    <w:rsid w:val="00C946D9"/>
    <w:rsid w:val="00C954E4"/>
    <w:rsid w:val="00C95B79"/>
    <w:rsid w:val="00C9743E"/>
    <w:rsid w:val="00CA422C"/>
    <w:rsid w:val="00CA47CA"/>
    <w:rsid w:val="00CA57D3"/>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63DB"/>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666"/>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2576"/>
    <w:rsid w:val="00DA3470"/>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5CBC"/>
    <w:rsid w:val="00E07AF1"/>
    <w:rsid w:val="00E10D79"/>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2EF"/>
    <w:rsid w:val="00E724E0"/>
    <w:rsid w:val="00E81392"/>
    <w:rsid w:val="00E92506"/>
    <w:rsid w:val="00E947FA"/>
    <w:rsid w:val="00EA018A"/>
    <w:rsid w:val="00EA0761"/>
    <w:rsid w:val="00EA2D92"/>
    <w:rsid w:val="00EA51B0"/>
    <w:rsid w:val="00EA74CD"/>
    <w:rsid w:val="00EB3A44"/>
    <w:rsid w:val="00EC0789"/>
    <w:rsid w:val="00EC1210"/>
    <w:rsid w:val="00EC5322"/>
    <w:rsid w:val="00ED1A6E"/>
    <w:rsid w:val="00ED6486"/>
    <w:rsid w:val="00EE1285"/>
    <w:rsid w:val="00EE18E1"/>
    <w:rsid w:val="00EE3243"/>
    <w:rsid w:val="00EE3511"/>
    <w:rsid w:val="00EE421D"/>
    <w:rsid w:val="00EE61E0"/>
    <w:rsid w:val="00EF008A"/>
    <w:rsid w:val="00EF1BA0"/>
    <w:rsid w:val="00EF3C84"/>
    <w:rsid w:val="00F00B2B"/>
    <w:rsid w:val="00F01187"/>
    <w:rsid w:val="00F016BE"/>
    <w:rsid w:val="00F01EA5"/>
    <w:rsid w:val="00F02EA3"/>
    <w:rsid w:val="00F03265"/>
    <w:rsid w:val="00F052FA"/>
    <w:rsid w:val="00F07721"/>
    <w:rsid w:val="00F113AD"/>
    <w:rsid w:val="00F119DB"/>
    <w:rsid w:val="00F11D39"/>
    <w:rsid w:val="00F143C0"/>
    <w:rsid w:val="00F15CED"/>
    <w:rsid w:val="00F2071E"/>
    <w:rsid w:val="00F2166F"/>
    <w:rsid w:val="00F24F64"/>
    <w:rsid w:val="00F27D6E"/>
    <w:rsid w:val="00F307D1"/>
    <w:rsid w:val="00F3096D"/>
    <w:rsid w:val="00F36EDA"/>
    <w:rsid w:val="00F40298"/>
    <w:rsid w:val="00F42BC5"/>
    <w:rsid w:val="00F4341F"/>
    <w:rsid w:val="00F43BA7"/>
    <w:rsid w:val="00F43F4B"/>
    <w:rsid w:val="00F45885"/>
    <w:rsid w:val="00F52498"/>
    <w:rsid w:val="00F53C74"/>
    <w:rsid w:val="00F552FD"/>
    <w:rsid w:val="00F6119B"/>
    <w:rsid w:val="00F61E2C"/>
    <w:rsid w:val="00F63769"/>
    <w:rsid w:val="00F65DD5"/>
    <w:rsid w:val="00F672A5"/>
    <w:rsid w:val="00F67A04"/>
    <w:rsid w:val="00F716C4"/>
    <w:rsid w:val="00F71F84"/>
    <w:rsid w:val="00F71FEF"/>
    <w:rsid w:val="00F72E93"/>
    <w:rsid w:val="00F73B8F"/>
    <w:rsid w:val="00F767DD"/>
    <w:rsid w:val="00F776A4"/>
    <w:rsid w:val="00F8116C"/>
    <w:rsid w:val="00F83D5A"/>
    <w:rsid w:val="00F84DA6"/>
    <w:rsid w:val="00F956A3"/>
    <w:rsid w:val="00FA1093"/>
    <w:rsid w:val="00FA36D7"/>
    <w:rsid w:val="00FA40B8"/>
    <w:rsid w:val="00FA5835"/>
    <w:rsid w:val="00FB48EC"/>
    <w:rsid w:val="00FB4B34"/>
    <w:rsid w:val="00FB7016"/>
    <w:rsid w:val="00FC15BA"/>
    <w:rsid w:val="00FC26E6"/>
    <w:rsid w:val="00FC538B"/>
    <w:rsid w:val="00FC7396"/>
    <w:rsid w:val="00FD2171"/>
    <w:rsid w:val="00FD3D40"/>
    <w:rsid w:val="00FD42FC"/>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
    <w:name w:val="Unresolved Mention"/>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408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ye.bastow@aec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bit.ly/2YCPVAY"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0BEB-3B20-445A-93EB-E5E89275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6203</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3</cp:revision>
  <cp:lastPrinted>2020-12-08T11:03:00Z</cp:lastPrinted>
  <dcterms:created xsi:type="dcterms:W3CDTF">2021-10-11T10:35:00Z</dcterms:created>
  <dcterms:modified xsi:type="dcterms:W3CDTF">2021-10-11T10:38:00Z</dcterms:modified>
</cp:coreProperties>
</file>