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AC" w:rsidRDefault="000116CF" w:rsidP="00A61876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PRESS RELEASE</w:t>
      </w:r>
    </w:p>
    <w:p w:rsidR="001D528A" w:rsidRDefault="00B72CF3" w:rsidP="00A61876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Energy: The New Reality </w:t>
      </w:r>
    </w:p>
    <w:p w:rsidR="00EF5C72" w:rsidRPr="00B72CF3" w:rsidRDefault="00DF3988" w:rsidP="00A61876">
      <w:pPr>
        <w:spacing w:line="240" w:lineRule="auto"/>
        <w:rPr>
          <w:rFonts w:cstheme="minorHAnsi"/>
          <w:i/>
          <w:color w:val="7F7F7F" w:themeColor="text1" w:themeTint="80"/>
          <w:sz w:val="24"/>
          <w:szCs w:val="24"/>
        </w:rPr>
      </w:pPr>
      <w:r>
        <w:rPr>
          <w:rFonts w:cstheme="minorHAnsi"/>
          <w:b/>
          <w:i/>
          <w:color w:val="7F7F7F" w:themeColor="text1" w:themeTint="80"/>
          <w:sz w:val="24"/>
          <w:szCs w:val="24"/>
        </w:rPr>
        <w:t>16 January, 2013</w:t>
      </w:r>
      <w:r w:rsidR="001D528A" w:rsidRPr="00B72CF3">
        <w:rPr>
          <w:rFonts w:cstheme="minorHAnsi"/>
          <w:b/>
          <w:i/>
          <w:color w:val="7F7F7F" w:themeColor="text1" w:themeTint="80"/>
          <w:sz w:val="24"/>
          <w:szCs w:val="24"/>
        </w:rPr>
        <w:t xml:space="preserve">: </w:t>
      </w:r>
      <w:r w:rsidR="003247A0" w:rsidRPr="00B72CF3">
        <w:rPr>
          <w:rFonts w:cstheme="minorHAnsi"/>
          <w:i/>
          <w:color w:val="7F7F7F" w:themeColor="text1" w:themeTint="80"/>
          <w:sz w:val="24"/>
          <w:szCs w:val="24"/>
        </w:rPr>
        <w:t xml:space="preserve">Consulting engineering and project implementation firm Hatch’s Global Managing Director of Energy </w:t>
      </w:r>
      <w:r w:rsidR="003247A0" w:rsidRPr="00B72CF3">
        <w:rPr>
          <w:rFonts w:cstheme="minorHAnsi"/>
          <w:b/>
          <w:i/>
          <w:color w:val="7F7F7F" w:themeColor="text1" w:themeTint="80"/>
          <w:sz w:val="24"/>
          <w:szCs w:val="24"/>
        </w:rPr>
        <w:t>John Pearson</w:t>
      </w:r>
      <w:r w:rsidR="003247A0" w:rsidRPr="00B72CF3">
        <w:rPr>
          <w:rFonts w:cstheme="minorHAnsi"/>
          <w:i/>
          <w:color w:val="7F7F7F" w:themeColor="text1" w:themeTint="80"/>
          <w:sz w:val="24"/>
          <w:szCs w:val="24"/>
        </w:rPr>
        <w:t xml:space="preserve"> recently highlighted </w:t>
      </w:r>
      <w:r w:rsidR="0054450D" w:rsidRPr="00B72CF3">
        <w:rPr>
          <w:rFonts w:cstheme="minorHAnsi"/>
          <w:i/>
          <w:color w:val="7F7F7F" w:themeColor="text1" w:themeTint="80"/>
          <w:sz w:val="24"/>
          <w:szCs w:val="24"/>
        </w:rPr>
        <w:t xml:space="preserve">that </w:t>
      </w:r>
      <w:r w:rsidR="000549B1">
        <w:rPr>
          <w:rFonts w:cstheme="minorHAnsi"/>
          <w:i/>
          <w:color w:val="7F7F7F" w:themeColor="text1" w:themeTint="80"/>
          <w:sz w:val="24"/>
          <w:szCs w:val="24"/>
        </w:rPr>
        <w:t>approximately 1.</w:t>
      </w:r>
      <w:r w:rsidR="003247A0" w:rsidRPr="00B72CF3">
        <w:rPr>
          <w:rFonts w:cstheme="minorHAnsi"/>
          <w:i/>
          <w:color w:val="7F7F7F" w:themeColor="text1" w:themeTint="80"/>
          <w:sz w:val="24"/>
          <w:szCs w:val="24"/>
        </w:rPr>
        <w:t>4-billion people ac</w:t>
      </w:r>
      <w:r w:rsidR="008B5A55" w:rsidRPr="00B72CF3">
        <w:rPr>
          <w:rFonts w:cstheme="minorHAnsi"/>
          <w:i/>
          <w:color w:val="7F7F7F" w:themeColor="text1" w:themeTint="80"/>
          <w:sz w:val="24"/>
          <w:szCs w:val="24"/>
        </w:rPr>
        <w:t xml:space="preserve">ross the globe survive without </w:t>
      </w:r>
      <w:r w:rsidR="00EF5C72" w:rsidRPr="00B72CF3">
        <w:rPr>
          <w:rFonts w:cstheme="minorHAnsi"/>
          <w:i/>
          <w:color w:val="7F7F7F" w:themeColor="text1" w:themeTint="80"/>
          <w:sz w:val="24"/>
          <w:szCs w:val="24"/>
        </w:rPr>
        <w:t xml:space="preserve">electricity – </w:t>
      </w:r>
      <w:r w:rsidR="003247A0" w:rsidRPr="00B72CF3">
        <w:rPr>
          <w:rFonts w:cstheme="minorHAnsi"/>
          <w:i/>
          <w:color w:val="7F7F7F" w:themeColor="text1" w:themeTint="80"/>
          <w:sz w:val="24"/>
          <w:szCs w:val="24"/>
        </w:rPr>
        <w:t xml:space="preserve"> 59% of which</w:t>
      </w:r>
      <w:r w:rsidR="0054450D" w:rsidRPr="00B72CF3">
        <w:rPr>
          <w:rFonts w:cstheme="minorHAnsi"/>
          <w:i/>
          <w:color w:val="7F7F7F" w:themeColor="text1" w:themeTint="80"/>
          <w:sz w:val="24"/>
          <w:szCs w:val="24"/>
        </w:rPr>
        <w:t xml:space="preserve"> are located in Africa (according to t</w:t>
      </w:r>
      <w:r w:rsidR="008B5A55" w:rsidRPr="00B72CF3">
        <w:rPr>
          <w:rFonts w:cstheme="minorHAnsi"/>
          <w:i/>
          <w:color w:val="7F7F7F" w:themeColor="text1" w:themeTint="80"/>
          <w:sz w:val="24"/>
          <w:szCs w:val="24"/>
        </w:rPr>
        <w:t>he International Energy Agency</w:t>
      </w:r>
      <w:r w:rsidR="00543224">
        <w:rPr>
          <w:rFonts w:cstheme="minorHAnsi"/>
          <w:i/>
          <w:color w:val="7F7F7F" w:themeColor="text1" w:themeTint="80"/>
          <w:sz w:val="24"/>
          <w:szCs w:val="24"/>
        </w:rPr>
        <w:t>)</w:t>
      </w:r>
      <w:r w:rsidR="0054450D" w:rsidRPr="00B72CF3">
        <w:rPr>
          <w:rFonts w:cstheme="minorHAnsi"/>
          <w:i/>
          <w:color w:val="7F7F7F" w:themeColor="text1" w:themeTint="80"/>
          <w:sz w:val="24"/>
          <w:szCs w:val="24"/>
        </w:rPr>
        <w:t xml:space="preserve">. </w:t>
      </w:r>
    </w:p>
    <w:p w:rsidR="003247A0" w:rsidRDefault="00EF5C72" w:rsidP="00A6187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With the global population estimated to grow by </w:t>
      </w:r>
      <w:r w:rsidR="00300EAC">
        <w:rPr>
          <w:rFonts w:cstheme="minorHAnsi"/>
        </w:rPr>
        <w:t xml:space="preserve">more than one </w:t>
      </w:r>
      <w:r>
        <w:rPr>
          <w:rFonts w:cstheme="minorHAnsi"/>
        </w:rPr>
        <w:t>billion people between 2010 and 2025, the lack of electricity is set to become one of the key drivers in the creation of what Pearson</w:t>
      </w:r>
      <w:r w:rsidR="00FE19CD">
        <w:rPr>
          <w:rFonts w:cstheme="minorHAnsi"/>
        </w:rPr>
        <w:t xml:space="preserve"> calls a ‘new energy reality’. </w:t>
      </w:r>
      <w:r w:rsidR="007739F2">
        <w:rPr>
          <w:rFonts w:cstheme="minorHAnsi"/>
        </w:rPr>
        <w:t xml:space="preserve">Population growth, a </w:t>
      </w:r>
      <w:r w:rsidR="0054450D">
        <w:rPr>
          <w:rFonts w:cstheme="minorHAnsi"/>
        </w:rPr>
        <w:t>changing</w:t>
      </w:r>
      <w:r w:rsidR="007739F2">
        <w:rPr>
          <w:rFonts w:cstheme="minorHAnsi"/>
        </w:rPr>
        <w:t xml:space="preserve"> and ever-expanding</w:t>
      </w:r>
      <w:r w:rsidR="0054450D">
        <w:rPr>
          <w:rFonts w:cstheme="minorHAnsi"/>
        </w:rPr>
        <w:t xml:space="preserve"> global economy, urbanisation, a lack of electricity, as well as a structural shift in commodity demand from </w:t>
      </w:r>
      <w:r w:rsidR="00543224">
        <w:rPr>
          <w:color w:val="000000"/>
        </w:rPr>
        <w:t xml:space="preserve">Organisation for Economic Co-operation and Development </w:t>
      </w:r>
      <w:r w:rsidR="0054450D">
        <w:rPr>
          <w:rFonts w:cstheme="minorHAnsi"/>
        </w:rPr>
        <w:t xml:space="preserve">(OECD) affiliated countries to non-OECD countries, have seen new energy source patterns emerge.  </w:t>
      </w:r>
    </w:p>
    <w:p w:rsidR="008B5A55" w:rsidRPr="008B5A55" w:rsidRDefault="008B5A55" w:rsidP="00A61876">
      <w:pPr>
        <w:spacing w:line="240" w:lineRule="auto"/>
        <w:rPr>
          <w:rFonts w:cstheme="minorHAnsi"/>
          <w:b/>
        </w:rPr>
      </w:pPr>
      <w:r w:rsidRPr="008B5A55">
        <w:rPr>
          <w:rFonts w:cstheme="minorHAnsi"/>
          <w:b/>
        </w:rPr>
        <w:t xml:space="preserve">New energy sources </w:t>
      </w:r>
      <w:r w:rsidR="00304A17">
        <w:rPr>
          <w:rFonts w:cstheme="minorHAnsi"/>
          <w:b/>
        </w:rPr>
        <w:t xml:space="preserve">and investment </w:t>
      </w:r>
    </w:p>
    <w:p w:rsidR="007739F2" w:rsidRDefault="007739F2" w:rsidP="00A6187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The demand for coal and oil is expected to drop </w:t>
      </w:r>
      <w:r w:rsidR="00804B2F">
        <w:rPr>
          <w:rFonts w:cstheme="minorHAnsi"/>
        </w:rPr>
        <w:t>in OECD countries, while it is anticipated to</w:t>
      </w:r>
      <w:r>
        <w:rPr>
          <w:rFonts w:cstheme="minorHAnsi"/>
        </w:rPr>
        <w:t xml:space="preserve"> increase in China and other non-OECD countries. The demand for all other energy sources is expected to increase by between 40% and 50% from 2012 to 2035. Pearson points out that the increased demand from non-OECD countries is expected to be met by new supply from Organisation of the Petroleum Exporting Countries (OPEC)</w:t>
      </w:r>
      <w:r w:rsidR="002500A1">
        <w:rPr>
          <w:rFonts w:cstheme="minorHAnsi"/>
        </w:rPr>
        <w:t xml:space="preserve"> and non-OPEC countries alike</w:t>
      </w:r>
      <w:r>
        <w:rPr>
          <w:rFonts w:cstheme="minorHAnsi"/>
        </w:rPr>
        <w:t xml:space="preserve"> </w:t>
      </w:r>
      <w:r w:rsidR="002500A1">
        <w:rPr>
          <w:rFonts w:cstheme="minorHAnsi"/>
        </w:rPr>
        <w:t xml:space="preserve">from </w:t>
      </w:r>
      <w:r>
        <w:rPr>
          <w:rFonts w:cstheme="minorHAnsi"/>
        </w:rPr>
        <w:t>ne</w:t>
      </w:r>
      <w:r w:rsidR="002500A1">
        <w:rPr>
          <w:rFonts w:cstheme="minorHAnsi"/>
        </w:rPr>
        <w:t xml:space="preserve">w sources such as bio-fuels and oil sands (the world’s third largest reserve). </w:t>
      </w:r>
    </w:p>
    <w:p w:rsidR="00166081" w:rsidRDefault="008B5A55" w:rsidP="00A6187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Pearson points out that estimated shale gas technically recoverable resources for select basins in 32 </w:t>
      </w:r>
      <w:r w:rsidR="000549B1">
        <w:rPr>
          <w:rFonts w:cstheme="minorHAnsi"/>
        </w:rPr>
        <w:t xml:space="preserve">countries </w:t>
      </w:r>
      <w:r w:rsidR="00300EAC">
        <w:rPr>
          <w:rFonts w:cstheme="minorHAnsi"/>
        </w:rPr>
        <w:t xml:space="preserve">is </w:t>
      </w:r>
      <w:r w:rsidR="000549B1">
        <w:rPr>
          <w:rFonts w:cstheme="minorHAnsi"/>
        </w:rPr>
        <w:t>equally abundant to natural gas and</w:t>
      </w:r>
      <w:r w:rsidR="00300EAC">
        <w:rPr>
          <w:rFonts w:cstheme="minorHAnsi"/>
        </w:rPr>
        <w:t xml:space="preserve"> </w:t>
      </w:r>
      <w:r>
        <w:rPr>
          <w:rFonts w:cstheme="minorHAnsi"/>
        </w:rPr>
        <w:t xml:space="preserve">should last for 136 years at 2009 consumption levels, while hydropower and wind power are expected to be the largest producers of electricity from the renewable energy sector by 2035. </w:t>
      </w:r>
    </w:p>
    <w:p w:rsidR="00166081" w:rsidRDefault="00304A17" w:rsidP="00A61876">
      <w:pPr>
        <w:spacing w:line="240" w:lineRule="auto"/>
        <w:rPr>
          <w:rFonts w:cstheme="minorHAnsi"/>
        </w:rPr>
      </w:pPr>
      <w:r>
        <w:rPr>
          <w:rFonts w:cstheme="minorHAnsi"/>
        </w:rPr>
        <w:t>The majority of investments in energy-supply infrastructure are expected to be in OECD countries and China, while significant investments are also expect</w:t>
      </w:r>
      <w:r w:rsidR="00B72CF3">
        <w:rPr>
          <w:rFonts w:cstheme="minorHAnsi"/>
        </w:rPr>
        <w:t xml:space="preserve">ed in Latin America and Africa. </w:t>
      </w:r>
      <w:r>
        <w:rPr>
          <w:rFonts w:cstheme="minorHAnsi"/>
        </w:rPr>
        <w:t xml:space="preserve">Approximately US$38-trillion is expected to be invested in energy-supply infrastructure between 2011 and 2035. </w:t>
      </w:r>
    </w:p>
    <w:p w:rsidR="002500A1" w:rsidRDefault="00304A17" w:rsidP="00A61876">
      <w:pPr>
        <w:spacing w:line="240" w:lineRule="auto"/>
        <w:rPr>
          <w:rFonts w:cstheme="minorHAnsi"/>
          <w:b/>
        </w:rPr>
      </w:pPr>
      <w:r w:rsidRPr="00304A17">
        <w:rPr>
          <w:rFonts w:cstheme="minorHAnsi"/>
          <w:b/>
        </w:rPr>
        <w:t xml:space="preserve">Africa and South Africa: A diverse energy profile </w:t>
      </w:r>
    </w:p>
    <w:p w:rsidR="00ED07DF" w:rsidRPr="00E858D8" w:rsidRDefault="00304A17" w:rsidP="00A61876">
      <w:pPr>
        <w:spacing w:line="240" w:lineRule="auto"/>
        <w:rPr>
          <w:rFonts w:cstheme="minorHAnsi"/>
          <w:color w:val="000000" w:themeColor="text1"/>
        </w:rPr>
      </w:pPr>
      <w:r w:rsidRPr="00E858D8">
        <w:rPr>
          <w:rFonts w:cstheme="minorHAnsi"/>
          <w:color w:val="000000" w:themeColor="text1"/>
        </w:rPr>
        <w:t>Pearson points out that the modernisation of many African economies, as well as the social progress that comes with this modernisation, will result in an unprecedented energy dem</w:t>
      </w:r>
      <w:r w:rsidR="00300EAC">
        <w:rPr>
          <w:rFonts w:cstheme="minorHAnsi"/>
          <w:color w:val="000000" w:themeColor="text1"/>
        </w:rPr>
        <w:t>and increase by an average of 5.</w:t>
      </w:r>
      <w:r w:rsidRPr="00E858D8">
        <w:rPr>
          <w:rFonts w:cstheme="minorHAnsi"/>
          <w:color w:val="000000" w:themeColor="text1"/>
        </w:rPr>
        <w:t xml:space="preserve">7% per annum from between 2011 and 2040. The corresponding generation capacity increase is 6% per year – a </w:t>
      </w:r>
      <w:r w:rsidR="00300EAC">
        <w:rPr>
          <w:rFonts w:cstheme="minorHAnsi"/>
          <w:color w:val="000000" w:themeColor="text1"/>
        </w:rPr>
        <w:t>five-</w:t>
      </w:r>
      <w:r w:rsidRPr="00E858D8">
        <w:rPr>
          <w:rFonts w:cstheme="minorHAnsi"/>
          <w:color w:val="000000" w:themeColor="text1"/>
        </w:rPr>
        <w:t>fold increa</w:t>
      </w:r>
      <w:r w:rsidR="00ED07DF" w:rsidRPr="00E858D8">
        <w:rPr>
          <w:rFonts w:cstheme="minorHAnsi"/>
          <w:color w:val="000000" w:themeColor="text1"/>
        </w:rPr>
        <w:t>se</w:t>
      </w:r>
      <w:r w:rsidR="002361A1">
        <w:rPr>
          <w:rFonts w:cstheme="minorHAnsi"/>
          <w:color w:val="000000" w:themeColor="text1"/>
        </w:rPr>
        <w:t xml:space="preserve"> over the same</w:t>
      </w:r>
      <w:r w:rsidR="00543224">
        <w:rPr>
          <w:rFonts w:cstheme="minorHAnsi"/>
          <w:color w:val="000000" w:themeColor="text1"/>
        </w:rPr>
        <w:t xml:space="preserve"> time</w:t>
      </w:r>
      <w:r w:rsidR="00ED07DF" w:rsidRPr="00E858D8">
        <w:rPr>
          <w:rFonts w:cstheme="minorHAnsi"/>
          <w:color w:val="000000" w:themeColor="text1"/>
        </w:rPr>
        <w:t xml:space="preserve">. </w:t>
      </w:r>
    </w:p>
    <w:p w:rsidR="00ED07DF" w:rsidRPr="00E858D8" w:rsidRDefault="00ED07DF" w:rsidP="00A61876">
      <w:pPr>
        <w:spacing w:after="0" w:line="240" w:lineRule="auto"/>
        <w:rPr>
          <w:rFonts w:cstheme="minorHAnsi"/>
          <w:color w:val="000000" w:themeColor="text1"/>
        </w:rPr>
      </w:pPr>
      <w:r w:rsidRPr="00E858D8">
        <w:rPr>
          <w:rFonts w:cstheme="minorHAnsi"/>
          <w:color w:val="000000" w:themeColor="text1"/>
        </w:rPr>
        <w:t>South Africa remains heavily dependent on coal, both in terms of power genera</w:t>
      </w:r>
      <w:r w:rsidR="007B6C6C" w:rsidRPr="00E858D8">
        <w:rPr>
          <w:rFonts w:cstheme="minorHAnsi"/>
          <w:color w:val="000000" w:themeColor="text1"/>
        </w:rPr>
        <w:t xml:space="preserve">tion and primary energy supply. </w:t>
      </w:r>
      <w:r w:rsidR="00E858D8" w:rsidRPr="00E858D8">
        <w:rPr>
          <w:rFonts w:cstheme="minorHAnsi"/>
          <w:color w:val="000000" w:themeColor="text1"/>
          <w:shd w:val="clear" w:color="auto" w:fill="FFFFFF"/>
        </w:rPr>
        <w:t>South Africa is the sixth largest holder of coal in the world with</w:t>
      </w:r>
      <w:r w:rsidR="002361A1">
        <w:rPr>
          <w:rFonts w:cstheme="minorHAnsi"/>
          <w:color w:val="000000" w:themeColor="text1"/>
          <w:shd w:val="clear" w:color="auto" w:fill="FFFFFF"/>
        </w:rPr>
        <w:t xml:space="preserve"> close to</w:t>
      </w:r>
      <w:r w:rsidR="00E858D8" w:rsidRPr="00E858D8">
        <w:rPr>
          <w:rFonts w:cstheme="minorHAnsi"/>
          <w:color w:val="000000" w:themeColor="text1"/>
          <w:shd w:val="clear" w:color="auto" w:fill="FFFFFF"/>
        </w:rPr>
        <w:t xml:space="preserve"> 31 billion tonnes of recoverable </w:t>
      </w:r>
      <w:r w:rsidR="002361A1">
        <w:rPr>
          <w:rFonts w:cstheme="minorHAnsi"/>
          <w:color w:val="000000" w:themeColor="text1"/>
          <w:shd w:val="clear" w:color="auto" w:fill="FFFFFF"/>
        </w:rPr>
        <w:t xml:space="preserve">(anthracite and bituminous) </w:t>
      </w:r>
      <w:r w:rsidR="009516AC">
        <w:rPr>
          <w:rFonts w:cstheme="minorHAnsi"/>
          <w:color w:val="000000" w:themeColor="text1"/>
          <w:shd w:val="clear" w:color="auto" w:fill="FFFFFF"/>
        </w:rPr>
        <w:t>coal reserves,</w:t>
      </w:r>
      <w:r w:rsidR="00825111">
        <w:rPr>
          <w:rFonts w:cstheme="minorHAnsi"/>
          <w:color w:val="000000" w:themeColor="text1"/>
          <w:shd w:val="clear" w:color="auto" w:fill="FFFFFF"/>
        </w:rPr>
        <w:t xml:space="preserve"> a significant portion of the </w:t>
      </w:r>
      <w:r w:rsidR="00E858D8" w:rsidRPr="00E858D8">
        <w:rPr>
          <w:rFonts w:cstheme="minorHAnsi"/>
          <w:color w:val="000000" w:themeColor="text1"/>
          <w:shd w:val="clear" w:color="auto" w:fill="FFFFFF"/>
        </w:rPr>
        <w:t>world’s total coal reserves.</w:t>
      </w:r>
    </w:p>
    <w:p w:rsidR="0054450D" w:rsidRDefault="0054450D" w:rsidP="00A61876">
      <w:pPr>
        <w:spacing w:after="0" w:line="240" w:lineRule="auto"/>
        <w:rPr>
          <w:rFonts w:cstheme="minorHAnsi"/>
        </w:rPr>
      </w:pPr>
    </w:p>
    <w:p w:rsidR="00EF5C72" w:rsidRDefault="004521E8" w:rsidP="00A6187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Looking to hydropower, Pearson says that the economic potential in certain parts of Africa is greater than 150 000 </w:t>
      </w:r>
      <w:r w:rsidR="00F64E8E">
        <w:rPr>
          <w:rFonts w:cstheme="minorHAnsi"/>
        </w:rPr>
        <w:t xml:space="preserve">MW and is located in four main hydro-electric hubs: </w:t>
      </w:r>
    </w:p>
    <w:p w:rsidR="00F64E8E" w:rsidRDefault="00F64E8E" w:rsidP="00A6187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West Africa on the Niger and Senegal rivers and in Guinea; </w:t>
      </w:r>
    </w:p>
    <w:p w:rsidR="00F64E8E" w:rsidRDefault="00F64E8E" w:rsidP="00A6187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Central Africa on the Congo River, in particular the Inga Scheme; </w:t>
      </w:r>
    </w:p>
    <w:p w:rsidR="00F64E8E" w:rsidRDefault="00F64E8E" w:rsidP="00A6187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Eastern Africa, the Nile River basin development; and </w:t>
      </w:r>
    </w:p>
    <w:p w:rsidR="00F64E8E" w:rsidRDefault="00F64E8E" w:rsidP="00A618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Southern Africa, involving the Orange, Limpopo and Zambezi rivers. </w:t>
      </w:r>
    </w:p>
    <w:p w:rsidR="00F64E8E" w:rsidRPr="00F64E8E" w:rsidRDefault="00F64E8E" w:rsidP="00A618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Pearson points out that only a small fraction of the continent’s hydro potential has been developed, with an installed capacity of 22 000 MW in 2008, compared with a conservatively estimated economic potential seven times this. </w:t>
      </w:r>
    </w:p>
    <w:p w:rsidR="003247A0" w:rsidRDefault="003247A0" w:rsidP="00A61876">
      <w:pPr>
        <w:spacing w:after="0" w:line="240" w:lineRule="auto"/>
        <w:rPr>
          <w:rFonts w:cstheme="minorHAnsi"/>
        </w:rPr>
      </w:pPr>
    </w:p>
    <w:p w:rsidR="008745CF" w:rsidRDefault="00AF0938" w:rsidP="00A6187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What’s more, there is potential for geo-thermal power in parts of East Africa including Eritrea, Ethiopia, Djibouti, Kenya, Uganda and Zambia. The potential could be between 6 500 and 14 500 MW, however less than 200 MW has been developed. </w:t>
      </w:r>
      <w:r w:rsidR="008745CF">
        <w:rPr>
          <w:rFonts w:cstheme="minorHAnsi"/>
        </w:rPr>
        <w:t xml:space="preserve">Wind power in Africa has mainly been developed in the Northern and Western parts along coasts and mountain ranges where the wind classes are sufficient. An average wind speed of 7 m/s is considered the minimum needed for efficient operation of wind turbines. Pearson points out that few sites in Africa make this benchmark. </w:t>
      </w:r>
    </w:p>
    <w:p w:rsidR="00A61876" w:rsidRDefault="00A61876" w:rsidP="00A6187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Looking to solar power, Pearson points out that the sunlight distribution of solar resources across Africa is fairly uniform, with more than 80% of Africa’s landscape receiving almost 2 000 kWh per square meter per year. This gives solar power the potential to bring energy to most locations in Africa without the need for expensive large-scale grid infrastructure. </w:t>
      </w:r>
    </w:p>
    <w:p w:rsidR="00A61876" w:rsidRDefault="00A61876" w:rsidP="00A6187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Despite the potential held in solar, hydro, wind and geo-thermal, the African continent has a low density transmission system which lacks standardised specifications. The existing African transmission system at a total of 89 731 km is small, </w:t>
      </w:r>
      <w:r w:rsidR="00300EAC">
        <w:rPr>
          <w:rFonts w:cstheme="minorHAnsi"/>
        </w:rPr>
        <w:t>corresponding to a density of 3.</w:t>
      </w:r>
      <w:r>
        <w:rPr>
          <w:rFonts w:cstheme="minorHAnsi"/>
        </w:rPr>
        <w:t xml:space="preserve">29 meters of transmission line per square kilometer. Pearson however points out that there are many planned power lines for the African continent. </w:t>
      </w:r>
    </w:p>
    <w:p w:rsidR="00A61876" w:rsidRDefault="00A61876" w:rsidP="00A61876">
      <w:pPr>
        <w:spacing w:line="240" w:lineRule="auto"/>
        <w:rPr>
          <w:rFonts w:cstheme="minorHAnsi"/>
        </w:rPr>
      </w:pPr>
      <w:r>
        <w:rPr>
          <w:rFonts w:cstheme="minorHAnsi"/>
        </w:rPr>
        <w:t>In conclusion, Pearson points out that an estimated US$44-billion per year in energy infrastructure investment will be needed to meet the forecasted energy demand for Africa to the year 2040.</w:t>
      </w:r>
      <w:r w:rsidR="00543224">
        <w:rPr>
          <w:rFonts w:cstheme="minorHAnsi"/>
        </w:rPr>
        <w:t xml:space="preserve"> He commented:  </w:t>
      </w:r>
      <w:r w:rsidR="006A6382">
        <w:rPr>
          <w:rFonts w:cstheme="minorHAnsi"/>
        </w:rPr>
        <w:t xml:space="preserve">“Africa has a huge need but also a huge opportunity.  The resources available, the talent and the state of technology will allow it to both address its energy needs but also in an environmentally sustainable way…” </w:t>
      </w:r>
      <w:r>
        <w:rPr>
          <w:rFonts w:cstheme="minorHAnsi"/>
        </w:rPr>
        <w:t xml:space="preserve"> </w:t>
      </w:r>
    </w:p>
    <w:p w:rsidR="00A61876" w:rsidRDefault="00A61876" w:rsidP="00B72CF3">
      <w:pPr>
        <w:spacing w:after="0" w:line="240" w:lineRule="auto"/>
        <w:rPr>
          <w:rFonts w:cstheme="minorHAnsi"/>
        </w:rPr>
      </w:pPr>
    </w:p>
    <w:p w:rsidR="00A61876" w:rsidRPr="00F30B0C" w:rsidRDefault="00A61876" w:rsidP="00B72CF3">
      <w:pPr>
        <w:spacing w:after="0" w:line="240" w:lineRule="auto"/>
        <w:rPr>
          <w:rFonts w:cstheme="minorHAnsi"/>
          <w:b/>
          <w:i/>
          <w:color w:val="000000" w:themeColor="text1"/>
          <w:lang w:val="en-US"/>
        </w:rPr>
      </w:pPr>
      <w:r w:rsidRPr="00F30B0C">
        <w:rPr>
          <w:rFonts w:cstheme="minorHAnsi"/>
          <w:b/>
          <w:i/>
          <w:color w:val="000000" w:themeColor="text1"/>
          <w:lang w:val="en-US"/>
        </w:rPr>
        <w:t xml:space="preserve">Ends. </w:t>
      </w:r>
    </w:p>
    <w:p w:rsidR="00A61876" w:rsidRDefault="00A61876" w:rsidP="00B72CF3">
      <w:pPr>
        <w:spacing w:after="0" w:line="240" w:lineRule="auto"/>
        <w:rPr>
          <w:rFonts w:ascii="Verdana" w:hAnsi="Verdana"/>
          <w:color w:val="1F497D"/>
          <w:sz w:val="20"/>
          <w:szCs w:val="20"/>
          <w:lang w:val="en-US"/>
        </w:rPr>
      </w:pPr>
    </w:p>
    <w:p w:rsidR="00A61876" w:rsidRDefault="00A61876" w:rsidP="00B72CF3">
      <w:pPr>
        <w:spacing w:after="0" w:line="240" w:lineRule="auto"/>
      </w:pPr>
      <w:r>
        <w:rPr>
          <w:b/>
        </w:rPr>
        <w:t>Notes to the Editor</w:t>
      </w:r>
      <w:r>
        <w:br/>
        <w:t xml:space="preserve">There are numerous photographs specific to this press release. Please visit </w:t>
      </w:r>
      <w:hyperlink r:id="rId7" w:history="1">
        <w:r>
          <w:rPr>
            <w:rStyle w:val="Hyperlink"/>
          </w:rPr>
          <w:t>http://media.ngage.co.za</w:t>
        </w:r>
      </w:hyperlink>
      <w:r>
        <w:t xml:space="preserve">  and click on the Hatch link. </w:t>
      </w:r>
    </w:p>
    <w:p w:rsidR="00B72CF3" w:rsidRDefault="00B72CF3" w:rsidP="00B72CF3">
      <w:pPr>
        <w:spacing w:after="0" w:line="240" w:lineRule="auto"/>
      </w:pPr>
    </w:p>
    <w:p w:rsidR="00A61876" w:rsidRDefault="00A61876" w:rsidP="00B72CF3">
      <w:pPr>
        <w:spacing w:after="0" w:line="240" w:lineRule="auto"/>
      </w:pPr>
      <w:r>
        <w:rPr>
          <w:b/>
        </w:rPr>
        <w:t>About Hatch</w:t>
      </w:r>
      <w:r>
        <w:t xml:space="preserve"> </w:t>
      </w:r>
      <w:r>
        <w:br/>
        <w:t>Hatch supplies process and business consulting, information technology, engineering, and project and construction management to the mining, metallurgical, energy and infrastructure industries.</w:t>
      </w:r>
      <w:r>
        <w:rPr>
          <w:b/>
        </w:rPr>
        <w:br/>
      </w:r>
    </w:p>
    <w:p w:rsidR="00A61876" w:rsidRDefault="00A61876" w:rsidP="00B72CF3">
      <w:pPr>
        <w:spacing w:after="0" w:line="240" w:lineRule="auto"/>
        <w:rPr>
          <w:b/>
        </w:rPr>
      </w:pPr>
      <w:r>
        <w:rPr>
          <w:b/>
        </w:rPr>
        <w:t xml:space="preserve">Hatch Contact </w:t>
      </w:r>
    </w:p>
    <w:p w:rsidR="00A61876" w:rsidRDefault="00DF3988" w:rsidP="00B72CF3">
      <w:pPr>
        <w:spacing w:after="0" w:line="240" w:lineRule="auto"/>
      </w:pPr>
      <w:r>
        <w:t>Michelle Reinhard</w:t>
      </w:r>
    </w:p>
    <w:p w:rsidR="00A61876" w:rsidRDefault="00A61876" w:rsidP="00B72CF3">
      <w:pPr>
        <w:spacing w:after="0" w:line="240" w:lineRule="auto"/>
      </w:pPr>
      <w:r>
        <w:t>Hatch Mark</w:t>
      </w:r>
      <w:r w:rsidR="00DF3988">
        <w:t>eting and Communications</w:t>
      </w:r>
      <w:r>
        <w:t xml:space="preserve"> </w:t>
      </w:r>
    </w:p>
    <w:p w:rsidR="00A61876" w:rsidRDefault="00A61876" w:rsidP="00B72CF3">
      <w:pPr>
        <w:spacing w:after="0" w:line="240" w:lineRule="auto"/>
      </w:pPr>
      <w:r>
        <w:t>Phone: 011 239 5300</w:t>
      </w:r>
    </w:p>
    <w:p w:rsidR="00A61876" w:rsidRDefault="00A61876" w:rsidP="00B72CF3">
      <w:pPr>
        <w:spacing w:after="0" w:line="240" w:lineRule="auto"/>
      </w:pPr>
      <w:r>
        <w:t xml:space="preserve">Email: </w:t>
      </w:r>
      <w:hyperlink r:id="rId8" w:history="1">
        <w:r w:rsidR="00DF3988" w:rsidRPr="009622F0">
          <w:rPr>
            <w:rStyle w:val="Hyperlink"/>
          </w:rPr>
          <w:t>MReinhard@hatch.co.za</w:t>
        </w:r>
      </w:hyperlink>
    </w:p>
    <w:p w:rsidR="00A61876" w:rsidRDefault="00A61876" w:rsidP="00B72CF3">
      <w:pPr>
        <w:spacing w:after="0" w:line="240" w:lineRule="auto"/>
      </w:pPr>
      <w:r>
        <w:t xml:space="preserve">Web: </w:t>
      </w:r>
      <w:hyperlink r:id="rId9" w:history="1">
        <w:r>
          <w:rPr>
            <w:rStyle w:val="Hyperlink"/>
          </w:rPr>
          <w:t>www.hatch.co.za</w:t>
        </w:r>
      </w:hyperlink>
    </w:p>
    <w:p w:rsidR="00A61876" w:rsidRDefault="00A61876" w:rsidP="00B72CF3">
      <w:pPr>
        <w:spacing w:after="0" w:line="240" w:lineRule="auto"/>
        <w:rPr>
          <w:b/>
        </w:rPr>
      </w:pPr>
    </w:p>
    <w:p w:rsidR="00A61876" w:rsidRDefault="00A61876" w:rsidP="00B72CF3">
      <w:pPr>
        <w:spacing w:after="0" w:line="240" w:lineRule="auto"/>
      </w:pPr>
      <w:r>
        <w:rPr>
          <w:b/>
        </w:rPr>
        <w:t>Media Contact</w:t>
      </w:r>
      <w:r>
        <w:rPr>
          <w:b/>
        </w:rPr>
        <w:br/>
      </w:r>
      <w:r>
        <w:t xml:space="preserve">Kelly Farthing </w:t>
      </w:r>
      <w:r>
        <w:rPr>
          <w:b/>
        </w:rPr>
        <w:br/>
      </w:r>
      <w:r>
        <w:t xml:space="preserve">NGAGE Public Relations </w:t>
      </w:r>
      <w:r>
        <w:rPr>
          <w:b/>
        </w:rPr>
        <w:br/>
      </w:r>
      <w:r>
        <w:lastRenderedPageBreak/>
        <w:t>Phone: (011) 867-7763</w:t>
      </w:r>
      <w:r>
        <w:rPr>
          <w:b/>
        </w:rPr>
        <w:br/>
      </w:r>
      <w:r>
        <w:t>Fax: 086 512 3352</w:t>
      </w:r>
      <w:r>
        <w:rPr>
          <w:b/>
        </w:rPr>
        <w:br/>
      </w:r>
      <w:r>
        <w:t xml:space="preserve">Cell: 079 367 7889 </w:t>
      </w:r>
      <w:r>
        <w:rPr>
          <w:b/>
        </w:rPr>
        <w:br/>
      </w:r>
      <w:r>
        <w:t>Email: Kelly@ngage.co.za</w:t>
      </w:r>
      <w:r>
        <w:rPr>
          <w:b/>
        </w:rPr>
        <w:br/>
      </w:r>
      <w:r>
        <w:t xml:space="preserve">Web: </w:t>
      </w:r>
      <w:hyperlink r:id="rId10" w:history="1">
        <w:r>
          <w:rPr>
            <w:rStyle w:val="Hyperlink"/>
          </w:rPr>
          <w:t>www.ngage.co.za</w:t>
        </w:r>
      </w:hyperlink>
      <w:r>
        <w:t xml:space="preserve"> </w:t>
      </w:r>
    </w:p>
    <w:p w:rsidR="00B72CF3" w:rsidRDefault="00B72CF3" w:rsidP="00B72CF3">
      <w:pPr>
        <w:spacing w:after="0" w:line="240" w:lineRule="auto"/>
      </w:pPr>
    </w:p>
    <w:p w:rsidR="00A61876" w:rsidRPr="00B72CF3" w:rsidRDefault="00A61876" w:rsidP="00B72CF3">
      <w:pPr>
        <w:spacing w:after="0" w:line="240" w:lineRule="auto"/>
        <w:rPr>
          <w:b/>
        </w:rPr>
      </w:pPr>
      <w:r>
        <w:t xml:space="preserve"> Browse the Ngage Media Zone for more client press releases and photographs at </w:t>
      </w:r>
      <w:hyperlink r:id="rId11" w:history="1">
        <w:r>
          <w:rPr>
            <w:rStyle w:val="Hyperlink"/>
          </w:rPr>
          <w:t>http://media.ngage.co.za</w:t>
        </w:r>
      </w:hyperlink>
      <w:r>
        <w:t xml:space="preserve"> </w:t>
      </w:r>
    </w:p>
    <w:sectPr w:rsidR="00A61876" w:rsidRPr="00B72CF3" w:rsidSect="0024315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52" w:rsidRDefault="00807E52" w:rsidP="000116CF">
      <w:pPr>
        <w:spacing w:after="0" w:line="240" w:lineRule="auto"/>
      </w:pPr>
      <w:r>
        <w:separator/>
      </w:r>
    </w:p>
  </w:endnote>
  <w:endnote w:type="continuationSeparator" w:id="0">
    <w:p w:rsidR="00807E52" w:rsidRDefault="00807E52" w:rsidP="0001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88" w:rsidRDefault="00DF3988">
    <w:pPr>
      <w:pStyle w:val="Footer"/>
    </w:pPr>
  </w:p>
  <w:p w:rsidR="000116CF" w:rsidRDefault="00011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52" w:rsidRDefault="00807E52" w:rsidP="000116CF">
      <w:pPr>
        <w:spacing w:after="0" w:line="240" w:lineRule="auto"/>
      </w:pPr>
      <w:r>
        <w:separator/>
      </w:r>
    </w:p>
  </w:footnote>
  <w:footnote w:type="continuationSeparator" w:id="0">
    <w:p w:rsidR="00807E52" w:rsidRDefault="00807E52" w:rsidP="0001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88" w:rsidRDefault="00DF3988">
    <w:pPr>
      <w:pStyle w:val="Header"/>
    </w:pPr>
  </w:p>
  <w:p w:rsidR="00DF3988" w:rsidRDefault="00DF3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064"/>
    <w:multiLevelType w:val="hybridMultilevel"/>
    <w:tmpl w:val="BD060038"/>
    <w:lvl w:ilvl="0" w:tplc="FF4E1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8A"/>
    <w:rsid w:val="000075F1"/>
    <w:rsid w:val="000116CF"/>
    <w:rsid w:val="00053123"/>
    <w:rsid w:val="000549B1"/>
    <w:rsid w:val="00100AA3"/>
    <w:rsid w:val="0015533C"/>
    <w:rsid w:val="00166081"/>
    <w:rsid w:val="00184D2F"/>
    <w:rsid w:val="001D528A"/>
    <w:rsid w:val="001F29B8"/>
    <w:rsid w:val="0022366D"/>
    <w:rsid w:val="002361A1"/>
    <w:rsid w:val="0024315D"/>
    <w:rsid w:val="002500A1"/>
    <w:rsid w:val="00300EAC"/>
    <w:rsid w:val="00304A17"/>
    <w:rsid w:val="003247A0"/>
    <w:rsid w:val="003B74C6"/>
    <w:rsid w:val="003F0A85"/>
    <w:rsid w:val="004521E8"/>
    <w:rsid w:val="00543224"/>
    <w:rsid w:val="0054450D"/>
    <w:rsid w:val="006A22A2"/>
    <w:rsid w:val="006A6382"/>
    <w:rsid w:val="00722733"/>
    <w:rsid w:val="007739F2"/>
    <w:rsid w:val="007B6C6C"/>
    <w:rsid w:val="00804B2F"/>
    <w:rsid w:val="00807E52"/>
    <w:rsid w:val="00825111"/>
    <w:rsid w:val="008745CF"/>
    <w:rsid w:val="008B5A55"/>
    <w:rsid w:val="009516AC"/>
    <w:rsid w:val="009C3823"/>
    <w:rsid w:val="00A61876"/>
    <w:rsid w:val="00A80910"/>
    <w:rsid w:val="00AF0938"/>
    <w:rsid w:val="00B72CF3"/>
    <w:rsid w:val="00C66896"/>
    <w:rsid w:val="00CD1D67"/>
    <w:rsid w:val="00D66ECD"/>
    <w:rsid w:val="00DF3988"/>
    <w:rsid w:val="00E111F1"/>
    <w:rsid w:val="00E858D8"/>
    <w:rsid w:val="00E92630"/>
    <w:rsid w:val="00ED07DF"/>
    <w:rsid w:val="00ED3DF4"/>
    <w:rsid w:val="00EF5C72"/>
    <w:rsid w:val="00F64E8E"/>
    <w:rsid w:val="00FE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8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2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6CF"/>
  </w:style>
  <w:style w:type="paragraph" w:styleId="Footer">
    <w:name w:val="footer"/>
    <w:basedOn w:val="Normal"/>
    <w:link w:val="FooterChar"/>
    <w:uiPriority w:val="99"/>
    <w:unhideWhenUsed/>
    <w:rsid w:val="0001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inhard@hatch.co.z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ngage.co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tch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2013-01-16T07:02:00Z</cp:lastPrinted>
  <dcterms:created xsi:type="dcterms:W3CDTF">2013-01-16T07:17:00Z</dcterms:created>
  <dcterms:modified xsi:type="dcterms:W3CDTF">2013-01-16T08:25:00Z</dcterms:modified>
</cp:coreProperties>
</file>